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AE5CB" w14:textId="77777777" w:rsidR="006E7DDC" w:rsidRDefault="006E7DDC" w:rsidP="00AA4B3C">
      <w:pPr>
        <w:ind w:right="-720"/>
        <w:jc w:val="both"/>
        <w:rPr>
          <w:b/>
          <w:u w:val="single"/>
        </w:rPr>
      </w:pPr>
      <w:r>
        <w:rPr>
          <w:b/>
          <w:u w:val="single"/>
        </w:rPr>
        <w:t>P.609</w:t>
      </w:r>
    </w:p>
    <w:p w14:paraId="3F2E6A5F" w14:textId="77777777" w:rsidR="006E7DDC" w:rsidRDefault="006E7DDC" w:rsidP="00AA4B3C">
      <w:pPr>
        <w:ind w:right="-720"/>
        <w:jc w:val="both"/>
        <w:rPr>
          <w:b/>
          <w:u w:val="single"/>
        </w:rPr>
      </w:pPr>
    </w:p>
    <w:p w14:paraId="72B39F3E" w14:textId="77777777" w:rsidR="006E7DDC" w:rsidRDefault="006E7DDC" w:rsidP="00AA4B3C">
      <w:pPr>
        <w:ind w:right="-720"/>
        <w:jc w:val="both"/>
      </w:pPr>
      <w:proofErr w:type="gramStart"/>
      <w:r>
        <w:t>Beside</w:t>
      </w:r>
      <w:proofErr w:type="gramEnd"/>
      <w:r>
        <w:t xml:space="preserve"> modeling the survival pattern over a period of time, the other objectives of survival analysis are (</w:t>
      </w:r>
      <w:proofErr w:type="spellStart"/>
      <w:r>
        <w:t>i</w:t>
      </w:r>
      <w:proofErr w:type="spellEnd"/>
      <w:r>
        <w:t>) to investigate factors that influence the duration of survival, (ii) to compare two or more modalities for survival pattern, and (iii) to estimate the future survival of individuals or groups with specified features.</w:t>
      </w:r>
    </w:p>
    <w:p w14:paraId="6FF0FA77" w14:textId="77777777" w:rsidR="006E7DDC" w:rsidRDefault="006E7DDC" w:rsidP="00AA4B3C">
      <w:pPr>
        <w:ind w:right="-720"/>
        <w:jc w:val="both"/>
      </w:pPr>
      <w:r>
        <w:tab/>
        <w:t>Survival pattern helps patients and physicians to decide which treatment or health strategy to prefer and when. For example, short-term survival may be better (in terms of percentage) with one regimen and long-term survival with another. The survival patterns are lessons to health care providers and seekers about what to expect in specific cases. The actual experience in individual cases would be different but not too much if the survival curves are valid and reliable.</w:t>
      </w:r>
    </w:p>
    <w:p w14:paraId="0AC5ABA2" w14:textId="77777777" w:rsidR="006E7DDC" w:rsidRDefault="006E7DDC" w:rsidP="00AA4B3C">
      <w:pPr>
        <w:ind w:right="-720"/>
        <w:jc w:val="both"/>
      </w:pPr>
    </w:p>
    <w:p w14:paraId="5C5617D4" w14:textId="77777777" w:rsidR="006E7DDC" w:rsidRDefault="006E7DDC" w:rsidP="00AA4B3C">
      <w:pPr>
        <w:ind w:right="-720"/>
        <w:jc w:val="both"/>
      </w:pPr>
      <w:r>
        <w:rPr>
          <w:noProof/>
        </w:rPr>
        <w:drawing>
          <wp:inline distT="0" distB="0" distL="0" distR="0" wp14:anchorId="165CA324" wp14:editId="7AEB46A2">
            <wp:extent cx="5143500" cy="18923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1892300"/>
                    </a:xfrm>
                    <a:prstGeom prst="rect">
                      <a:avLst/>
                    </a:prstGeom>
                    <a:noFill/>
                    <a:ln>
                      <a:noFill/>
                    </a:ln>
                  </pic:spPr>
                </pic:pic>
              </a:graphicData>
            </a:graphic>
          </wp:inline>
        </w:drawing>
      </w:r>
    </w:p>
    <w:p w14:paraId="6DDCFFC6" w14:textId="77777777" w:rsidR="006E7DDC" w:rsidRDefault="006E7DDC" w:rsidP="00AA4B3C">
      <w:pPr>
        <w:ind w:right="-720"/>
        <w:jc w:val="both"/>
      </w:pPr>
    </w:p>
    <w:p w14:paraId="524D2E03" w14:textId="77777777" w:rsidR="006E7DDC" w:rsidRPr="000C4819" w:rsidRDefault="006E7DDC" w:rsidP="00AA4B3C">
      <w:pPr>
        <w:ind w:right="-720"/>
        <w:jc w:val="both"/>
      </w:pPr>
      <w:r>
        <w:t>Figure 18.1</w:t>
      </w:r>
    </w:p>
    <w:p w14:paraId="75EB1642" w14:textId="77777777" w:rsidR="006E7DDC" w:rsidRDefault="006E7DDC" w:rsidP="00AA4B3C">
      <w:pPr>
        <w:ind w:right="-720"/>
        <w:jc w:val="both"/>
        <w:rPr>
          <w:b/>
          <w:u w:val="single"/>
        </w:rPr>
      </w:pPr>
    </w:p>
    <w:p w14:paraId="56C1D4C4" w14:textId="77777777" w:rsidR="006E7DDC" w:rsidRDefault="006E7DDC" w:rsidP="00AA4B3C">
      <w:pPr>
        <w:ind w:right="-720"/>
        <w:jc w:val="both"/>
        <w:rPr>
          <w:b/>
          <w:u w:val="single"/>
        </w:rPr>
      </w:pPr>
      <w:r>
        <w:rPr>
          <w:b/>
          <w:u w:val="single"/>
        </w:rPr>
        <w:t>P.609</w:t>
      </w:r>
    </w:p>
    <w:p w14:paraId="650C4788" w14:textId="77777777" w:rsidR="006E7DDC" w:rsidRDefault="006E7DDC" w:rsidP="00AA4B3C">
      <w:pPr>
        <w:ind w:right="-720"/>
        <w:jc w:val="both"/>
        <w:rPr>
          <w:b/>
          <w:u w:val="single"/>
        </w:rPr>
      </w:pPr>
    </w:p>
    <w:p w14:paraId="23210E90" w14:textId="77777777" w:rsidR="006E7DDC" w:rsidRDefault="006E7DDC" w:rsidP="00AA4B3C">
      <w:pPr>
        <w:ind w:right="-720"/>
        <w:jc w:val="both"/>
      </w:pPr>
      <w:r>
        <w:t>In cases D, F and H, this occurred because the study has ended whereas in case E, it is due to loss of the subject for follow-up.</w:t>
      </w:r>
    </w:p>
    <w:p w14:paraId="46388234" w14:textId="77777777" w:rsidR="006E7DDC" w:rsidRDefault="006E7DDC" w:rsidP="00AA4B3C">
      <w:pPr>
        <w:ind w:right="-720"/>
        <w:jc w:val="both"/>
      </w:pPr>
    </w:p>
    <w:p w14:paraId="00E7E135" w14:textId="77777777" w:rsidR="006E7DDC" w:rsidRDefault="006E7DDC" w:rsidP="00AA4B3C">
      <w:pPr>
        <w:ind w:right="-720"/>
        <w:jc w:val="both"/>
        <w:rPr>
          <w:b/>
          <w:u w:val="single"/>
        </w:rPr>
      </w:pPr>
      <w:r>
        <w:rPr>
          <w:b/>
          <w:u w:val="single"/>
        </w:rPr>
        <w:t>P.611</w:t>
      </w:r>
    </w:p>
    <w:p w14:paraId="5AB75956" w14:textId="77777777" w:rsidR="006E7DDC" w:rsidRDefault="006E7DDC" w:rsidP="00AA4B3C">
      <w:pPr>
        <w:ind w:right="-720"/>
        <w:jc w:val="both"/>
        <w:rPr>
          <w:b/>
          <w:u w:val="single"/>
        </w:rPr>
      </w:pPr>
    </w:p>
    <w:p w14:paraId="46EB2317" w14:textId="77777777" w:rsidR="006E7DDC" w:rsidRDefault="006E7DDC" w:rsidP="00AA4B3C">
      <w:pPr>
        <w:ind w:right="-720"/>
        <w:jc w:val="both"/>
      </w:pPr>
      <w:r>
        <w:t>Before proceeding ahead with survival analysis, assess that there is no discernible pattern in the durations or in reaching to the end point when arranged by enrolment. For example, you can plot them as in Figure 18. After reordering by date of entry, confirm that deaths and durations of survival are randomly distributed. Early recruiters should not have unusually high (or low) death rates or unusually long (or short) duration of survival.</w:t>
      </w:r>
    </w:p>
    <w:p w14:paraId="45AE0F68" w14:textId="77777777" w:rsidR="006E7DDC" w:rsidRDefault="006E7DDC" w:rsidP="00AA4B3C">
      <w:pPr>
        <w:ind w:right="-720"/>
        <w:jc w:val="both"/>
      </w:pPr>
    </w:p>
    <w:p w14:paraId="4191F1C2" w14:textId="77777777" w:rsidR="006E7DDC" w:rsidRDefault="006E7DDC" w:rsidP="00AA4B3C">
      <w:pPr>
        <w:ind w:right="-720"/>
        <w:jc w:val="both"/>
        <w:rPr>
          <w:b/>
          <w:u w:val="single"/>
        </w:rPr>
      </w:pPr>
      <w:r>
        <w:rPr>
          <w:b/>
          <w:u w:val="single"/>
        </w:rPr>
        <w:t>P.611</w:t>
      </w:r>
    </w:p>
    <w:p w14:paraId="16F46550" w14:textId="77777777" w:rsidR="006E7DDC" w:rsidRDefault="006E7DDC" w:rsidP="00AA4B3C">
      <w:pPr>
        <w:ind w:right="-720"/>
        <w:jc w:val="both"/>
        <w:rPr>
          <w:b/>
          <w:u w:val="single"/>
        </w:rPr>
      </w:pPr>
    </w:p>
    <w:p w14:paraId="38DF6CA1" w14:textId="77777777" w:rsidR="006E7DDC" w:rsidRPr="007651F3" w:rsidRDefault="006E7DDC" w:rsidP="00AA4B3C">
      <w:pPr>
        <w:ind w:right="-720"/>
        <w:jc w:val="both"/>
        <w:rPr>
          <w:b/>
        </w:rPr>
      </w:pPr>
      <w:r>
        <w:rPr>
          <w:b/>
        </w:rPr>
        <w:t>18.2.1.3 Statistical Measures of S</w:t>
      </w:r>
      <w:r w:rsidRPr="007651F3">
        <w:rPr>
          <w:b/>
        </w:rPr>
        <w:t>urvival</w:t>
      </w:r>
    </w:p>
    <w:p w14:paraId="6E5729A9" w14:textId="77777777" w:rsidR="006E7DDC" w:rsidRDefault="006E7DDC" w:rsidP="00AA4B3C">
      <w:pPr>
        <w:ind w:right="-720"/>
        <w:jc w:val="both"/>
      </w:pPr>
      <w:r>
        <w:t xml:space="preserve">Now that you have understood the censoring, you may realize the problems in computing mean survival time. In Figure 18.1, the survival duration of subjects D, E, F and H is not known. If these are ignored, the mean of the remaining 3 known durations can be unreliable and biased.  </w:t>
      </w:r>
      <w:proofErr w:type="gramStart"/>
      <w:r>
        <w:t xml:space="preserve">Unreliable because the </w:t>
      </w:r>
      <w:r w:rsidRPr="00680DC6">
        <w:rPr>
          <w:i/>
        </w:rPr>
        <w:t>n</w:t>
      </w:r>
      <w:r>
        <w:t xml:space="preserve"> available now is only 3 whereas actually there are 8 subjects in this </w:t>
      </w:r>
      <w:r>
        <w:lastRenderedPageBreak/>
        <w:t>study.</w:t>
      </w:r>
      <w:proofErr w:type="gramEnd"/>
      <w:r>
        <w:t xml:space="preserve"> Biased because the subjects excluded from this calculation due to incomplete observations are likely to be very different. If this is duration of survival after a treatment, the persons alive at the end of follow-up are exactly those that may have benefited. If these censored observations </w:t>
      </w:r>
      <w:proofErr w:type="gramStart"/>
      <w:r>
        <w:t>are</w:t>
      </w:r>
      <w:proofErr w:type="gramEnd"/>
      <w:r>
        <w:t xml:space="preserve"> included with truncated values, the means would obviously be an underestimate. Thirdly, survival duration is known to have highly skewed distribution since some people tend to survive for long duration. If mean is not appropriate for survival, which summary measure do you use? The choice immediately falls on median, which is much less affected by such vagaries. </w:t>
      </w:r>
      <w:r w:rsidRPr="004052C9">
        <w:rPr>
          <w:b/>
        </w:rPr>
        <w:t>Median survival time</w:t>
      </w:r>
      <w:r>
        <w:t xml:space="preserve"> is indeed used as a summary measure to get feeling of duration of survival and to compare two or more groups, although you can see that this too is not completely free of bias because of incomplete segments. </w:t>
      </w:r>
    </w:p>
    <w:p w14:paraId="20E63C0C" w14:textId="77777777" w:rsidR="006E7DDC" w:rsidRDefault="006E7DDC" w:rsidP="00AA4B3C">
      <w:pPr>
        <w:ind w:right="-720" w:firstLine="720"/>
        <w:jc w:val="both"/>
      </w:pPr>
      <w:r>
        <w:t xml:space="preserve">For varying durations, you can think of person-years as the denominator and come up with an average such as 2.7 deaths per persons-year. Although person-year can take care of the incomplete segments, this annoyingly considers first year after treatment on the same pedestal as say fifth year. </w:t>
      </w:r>
      <w:proofErr w:type="gramStart"/>
      <w:r>
        <w:t>Clearly this in not true for survival.</w:t>
      </w:r>
      <w:proofErr w:type="gramEnd"/>
      <w:r>
        <w:t xml:space="preserve"> The risk of death increases as the time passes – one because of advancing age and two because the effect of treatment generally wanes. Thus a measure such as death per person-year is also ruled out.</w:t>
      </w:r>
    </w:p>
    <w:p w14:paraId="3B9A5161" w14:textId="77777777" w:rsidR="006E7DDC" w:rsidRDefault="006E7DDC" w:rsidP="00AA4B3C">
      <w:pPr>
        <w:ind w:right="-720" w:firstLine="720"/>
        <w:jc w:val="both"/>
      </w:pPr>
      <w:r>
        <w:t>Beside median survival time, the other appropriate measure is survival rate such as 5-year survival rate. This can be adjusted for censored values as discussed next, and is a commonly used parameter in survival studies.</w:t>
      </w:r>
    </w:p>
    <w:p w14:paraId="2A30D8D8" w14:textId="77777777" w:rsidR="006E7DDC" w:rsidRDefault="006E7DDC" w:rsidP="00AA4B3C">
      <w:pPr>
        <w:ind w:right="-720"/>
        <w:jc w:val="both"/>
      </w:pPr>
    </w:p>
    <w:p w14:paraId="2EFBB1CF" w14:textId="77777777" w:rsidR="006E7DDC" w:rsidRDefault="006E7DDC" w:rsidP="00AA4B3C">
      <w:pPr>
        <w:ind w:right="-720"/>
        <w:jc w:val="both"/>
      </w:pPr>
      <w:r>
        <w:t>P611</w:t>
      </w:r>
    </w:p>
    <w:p w14:paraId="08E115CA" w14:textId="77777777" w:rsidR="006E7DDC" w:rsidRDefault="006E7DDC" w:rsidP="00AA4B3C">
      <w:pPr>
        <w:ind w:right="-720"/>
        <w:jc w:val="both"/>
      </w:pPr>
      <w:r>
        <w:t xml:space="preserve">Thus time is divided into bands. Such observations in intervals may be cost-effective in some situations, particularly when </w:t>
      </w:r>
      <w:r w:rsidRPr="00992386">
        <w:rPr>
          <w:i/>
        </w:rPr>
        <w:t>n</w:t>
      </w:r>
      <w:r>
        <w:t xml:space="preserve"> is large.</w:t>
      </w:r>
    </w:p>
    <w:p w14:paraId="3E0D93B7" w14:textId="77777777" w:rsidR="006E7DDC" w:rsidRDefault="006E7DDC" w:rsidP="00AA4B3C">
      <w:pPr>
        <w:ind w:right="-720"/>
        <w:jc w:val="both"/>
      </w:pPr>
    </w:p>
    <w:p w14:paraId="29E8A933" w14:textId="77777777" w:rsidR="006E7DDC" w:rsidRDefault="006E7DDC" w:rsidP="00AA4B3C">
      <w:pPr>
        <w:ind w:right="-720"/>
        <w:jc w:val="both"/>
      </w:pPr>
      <w:r>
        <w:t>P612</w:t>
      </w:r>
    </w:p>
    <w:p w14:paraId="5DAFDB93" w14:textId="77777777" w:rsidR="006E7DDC" w:rsidRDefault="006E7DDC" w:rsidP="00AA4B3C">
      <w:pPr>
        <w:ind w:right="-720"/>
        <w:jc w:val="both"/>
      </w:pPr>
      <w:r>
        <w:t xml:space="preserve">Note that this is </w:t>
      </w:r>
      <w:proofErr w:type="gramStart"/>
      <w:r>
        <w:t>nonparametric</w:t>
      </w:r>
      <w:proofErr w:type="gramEnd"/>
      <w:r>
        <w:t xml:space="preserve"> as it does not depend on any particular form of distribution of survival period.</w:t>
      </w:r>
    </w:p>
    <w:p w14:paraId="3E876C45" w14:textId="77777777" w:rsidR="006E7DDC" w:rsidRDefault="006E7DDC" w:rsidP="00AA4B3C">
      <w:pPr>
        <w:ind w:right="-720"/>
        <w:jc w:val="both"/>
      </w:pPr>
    </w:p>
    <w:p w14:paraId="6C51730C" w14:textId="77777777" w:rsidR="006E7DDC" w:rsidRDefault="006E7DDC" w:rsidP="00AA4B3C">
      <w:pPr>
        <w:ind w:right="-720"/>
        <w:jc w:val="both"/>
        <w:rPr>
          <w:b/>
          <w:u w:val="single"/>
        </w:rPr>
      </w:pPr>
      <w:r>
        <w:rPr>
          <w:b/>
          <w:u w:val="single"/>
        </w:rPr>
        <w:t>P.614</w:t>
      </w:r>
    </w:p>
    <w:p w14:paraId="0BB7875A" w14:textId="77777777" w:rsidR="006E7DDC" w:rsidRDefault="006E7DDC" w:rsidP="00AA4B3C">
      <w:pPr>
        <w:ind w:right="-720"/>
        <w:jc w:val="both"/>
      </w:pPr>
      <w:r w:rsidRPr="00992386">
        <w:t>Median survival time corresponds to survival function = 0.5 and is the same as time</w:t>
      </w:r>
      <w:r>
        <w:t xml:space="preserve"> at which 50% survive only if there are no censored observations. Thus they are not same. More exactly, median is calculated as the smallest survival time at which survival probability is at least 0.5.</w:t>
      </w:r>
    </w:p>
    <w:p w14:paraId="1AD04211" w14:textId="77777777" w:rsidR="00461144" w:rsidRDefault="00461144" w:rsidP="00AA4B3C">
      <w:pPr>
        <w:ind w:right="-720"/>
      </w:pPr>
    </w:p>
    <w:tbl>
      <w:tblPr>
        <w:tblpPr w:leftFromText="180" w:rightFromText="180" w:horzAnchor="margin" w:tblpY="645"/>
        <w:tblW w:w="5433" w:type="dxa"/>
        <w:tblLook w:val="04A0" w:firstRow="1" w:lastRow="0" w:firstColumn="1" w:lastColumn="0" w:noHBand="0" w:noVBand="1"/>
      </w:tblPr>
      <w:tblGrid>
        <w:gridCol w:w="4236"/>
        <w:gridCol w:w="554"/>
        <w:gridCol w:w="554"/>
        <w:gridCol w:w="554"/>
        <w:gridCol w:w="554"/>
      </w:tblGrid>
      <w:tr w:rsidR="006E7DDC" w:rsidRPr="000E2037" w14:paraId="6AE9C0F0" w14:textId="77777777" w:rsidTr="00B70F12">
        <w:trPr>
          <w:trHeight w:val="281"/>
        </w:trPr>
        <w:tc>
          <w:tcPr>
            <w:tcW w:w="3217" w:type="dxa"/>
            <w:tcBorders>
              <w:top w:val="nil"/>
              <w:left w:val="nil"/>
              <w:bottom w:val="nil"/>
              <w:right w:val="nil"/>
            </w:tcBorders>
            <w:shd w:val="clear" w:color="auto" w:fill="auto"/>
            <w:noWrap/>
            <w:vAlign w:val="bottom"/>
            <w:hideMark/>
          </w:tcPr>
          <w:p w14:paraId="42834CC2" w14:textId="0AD0823C" w:rsidR="006E7DDC" w:rsidRPr="000E2037" w:rsidRDefault="006E7DDC" w:rsidP="00AA4B3C">
            <w:pPr>
              <w:ind w:right="-720"/>
              <w:rPr>
                <w:rFonts w:ascii="Arial" w:hAnsi="Arial" w:cs="Arial"/>
                <w:sz w:val="20"/>
                <w:szCs w:val="20"/>
              </w:rPr>
            </w:pPr>
            <w:r>
              <w:rPr>
                <w:noProof/>
              </w:rPr>
              <w:drawing>
                <wp:inline distT="0" distB="0" distL="0" distR="0" wp14:anchorId="2F01BBA6" wp14:editId="502FF8CA">
                  <wp:extent cx="3009900" cy="1943100"/>
                  <wp:effectExtent l="0" t="0" r="0" b="0"/>
                  <wp:docPr id="4"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2248C5D" w14:textId="77777777" w:rsidR="006E7DDC" w:rsidRPr="000E2037" w:rsidRDefault="006E7DDC" w:rsidP="00AA4B3C">
            <w:pPr>
              <w:ind w:right="-720"/>
              <w:rPr>
                <w:rFonts w:ascii="Arial" w:hAnsi="Arial" w:cs="Arial"/>
                <w:sz w:val="20"/>
                <w:szCs w:val="20"/>
              </w:rPr>
            </w:pPr>
            <w:bookmarkStart w:id="0" w:name="RANGE!G31:K42"/>
            <w:bookmarkEnd w:id="0"/>
          </w:p>
        </w:tc>
        <w:tc>
          <w:tcPr>
            <w:tcW w:w="554" w:type="dxa"/>
            <w:tcBorders>
              <w:top w:val="nil"/>
              <w:left w:val="nil"/>
              <w:bottom w:val="nil"/>
              <w:right w:val="nil"/>
            </w:tcBorders>
            <w:shd w:val="clear" w:color="auto" w:fill="auto"/>
            <w:noWrap/>
            <w:vAlign w:val="bottom"/>
            <w:hideMark/>
          </w:tcPr>
          <w:p w14:paraId="0F29961E" w14:textId="77777777" w:rsidR="006E7DDC" w:rsidRPr="000E2037" w:rsidRDefault="006E7DDC" w:rsidP="00AA4B3C">
            <w:pPr>
              <w:ind w:right="-720"/>
              <w:rPr>
                <w:rFonts w:ascii="Arial" w:hAnsi="Arial" w:cs="Arial"/>
                <w:sz w:val="20"/>
                <w:szCs w:val="20"/>
              </w:rPr>
            </w:pPr>
          </w:p>
        </w:tc>
        <w:tc>
          <w:tcPr>
            <w:tcW w:w="554" w:type="dxa"/>
            <w:tcBorders>
              <w:top w:val="nil"/>
              <w:left w:val="nil"/>
              <w:bottom w:val="nil"/>
              <w:right w:val="nil"/>
            </w:tcBorders>
            <w:shd w:val="clear" w:color="auto" w:fill="auto"/>
            <w:noWrap/>
            <w:vAlign w:val="bottom"/>
            <w:hideMark/>
          </w:tcPr>
          <w:p w14:paraId="4970B791" w14:textId="77777777" w:rsidR="006E7DDC" w:rsidRPr="000E2037" w:rsidRDefault="006E7DDC" w:rsidP="00AA4B3C">
            <w:pPr>
              <w:ind w:right="-720"/>
              <w:rPr>
                <w:rFonts w:ascii="Arial" w:hAnsi="Arial" w:cs="Arial"/>
                <w:sz w:val="20"/>
                <w:szCs w:val="20"/>
              </w:rPr>
            </w:pPr>
          </w:p>
        </w:tc>
        <w:tc>
          <w:tcPr>
            <w:tcW w:w="554" w:type="dxa"/>
            <w:tcBorders>
              <w:top w:val="nil"/>
              <w:left w:val="nil"/>
              <w:bottom w:val="nil"/>
              <w:right w:val="nil"/>
            </w:tcBorders>
            <w:shd w:val="clear" w:color="auto" w:fill="auto"/>
            <w:noWrap/>
            <w:vAlign w:val="bottom"/>
            <w:hideMark/>
          </w:tcPr>
          <w:p w14:paraId="043F1823" w14:textId="77777777" w:rsidR="006E7DDC" w:rsidRPr="000E2037" w:rsidRDefault="006E7DDC" w:rsidP="00AA4B3C">
            <w:pPr>
              <w:ind w:right="-720"/>
              <w:rPr>
                <w:rFonts w:ascii="Arial" w:hAnsi="Arial" w:cs="Arial"/>
                <w:sz w:val="20"/>
                <w:szCs w:val="20"/>
              </w:rPr>
            </w:pPr>
          </w:p>
        </w:tc>
        <w:tc>
          <w:tcPr>
            <w:tcW w:w="554" w:type="dxa"/>
            <w:tcBorders>
              <w:top w:val="nil"/>
              <w:left w:val="nil"/>
              <w:bottom w:val="nil"/>
              <w:right w:val="nil"/>
            </w:tcBorders>
            <w:shd w:val="clear" w:color="auto" w:fill="auto"/>
            <w:noWrap/>
            <w:vAlign w:val="bottom"/>
            <w:hideMark/>
          </w:tcPr>
          <w:p w14:paraId="038D9DC2" w14:textId="77777777" w:rsidR="006E7DDC" w:rsidRPr="000E2037" w:rsidRDefault="006E7DDC" w:rsidP="00AA4B3C">
            <w:pPr>
              <w:ind w:right="-720"/>
              <w:rPr>
                <w:rFonts w:ascii="Arial" w:hAnsi="Arial" w:cs="Arial"/>
                <w:sz w:val="20"/>
                <w:szCs w:val="20"/>
              </w:rPr>
            </w:pPr>
          </w:p>
        </w:tc>
      </w:tr>
    </w:tbl>
    <w:p w14:paraId="249BB080" w14:textId="77777777" w:rsidR="006E7DDC" w:rsidRDefault="006E7DDC" w:rsidP="00AA4B3C">
      <w:pPr>
        <w:ind w:right="-720"/>
      </w:pPr>
      <w:r>
        <w:t>Figure – illustrates how a survival curve can be used to graphically estimate median survival time, something like 5-year survival rate, and duration at which survival is 80%.</w:t>
      </w:r>
    </w:p>
    <w:p w14:paraId="03CED4FA" w14:textId="77777777" w:rsidR="006E7DDC" w:rsidRDefault="006E7DDC" w:rsidP="00AA4B3C">
      <w:pPr>
        <w:ind w:right="-720"/>
      </w:pPr>
    </w:p>
    <w:p w14:paraId="30CD3052" w14:textId="77777777" w:rsidR="006E7DDC" w:rsidRDefault="006E7DDC" w:rsidP="00AA4B3C">
      <w:pPr>
        <w:ind w:right="-720"/>
      </w:pPr>
    </w:p>
    <w:p w14:paraId="4AC387CA" w14:textId="740A10FF" w:rsidR="006E7DDC" w:rsidRDefault="00EA63BA" w:rsidP="00AA4B3C">
      <w:pPr>
        <w:ind w:right="-720"/>
      </w:pPr>
      <w:r>
        <w:rPr>
          <w:rFonts w:ascii="Arial" w:hAnsi="Arial" w:cs="Arial"/>
          <w:noProof/>
          <w:sz w:val="20"/>
          <w:szCs w:val="20"/>
        </w:rPr>
        <w:lastRenderedPageBreak/>
        <mc:AlternateContent>
          <mc:Choice Requires="wps">
            <w:drawing>
              <wp:anchor distT="0" distB="0" distL="114300" distR="114300" simplePos="0" relativeHeight="251659264" behindDoc="0" locked="0" layoutInCell="1" allowOverlap="1" wp14:anchorId="4480511D" wp14:editId="1FF4A108">
                <wp:simplePos x="0" y="0"/>
                <wp:positionH relativeFrom="column">
                  <wp:posOffset>-3670599</wp:posOffset>
                </wp:positionH>
                <wp:positionV relativeFrom="paragraph">
                  <wp:posOffset>67986</wp:posOffset>
                </wp:positionV>
                <wp:extent cx="247015" cy="1237788"/>
                <wp:effectExtent l="279400" t="0" r="235585" b="0"/>
                <wp:wrapNone/>
                <wp:docPr id="103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224593">
                          <a:off x="0" y="0"/>
                          <a:ext cx="247015" cy="1237788"/>
                        </a:xfrm>
                        <a:custGeom>
                          <a:avLst/>
                          <a:gdLst>
                            <a:gd name="T0" fmla="*/ 0 w 91"/>
                            <a:gd name="T1" fmla="*/ 119 h 119"/>
                            <a:gd name="T2" fmla="*/ 15 w 91"/>
                            <a:gd name="T3" fmla="*/ 37 h 119"/>
                            <a:gd name="T4" fmla="*/ 91 w 91"/>
                            <a:gd name="T5" fmla="*/ 0 h 119"/>
                            <a:gd name="T6" fmla="*/ 0 60000 65536"/>
                            <a:gd name="T7" fmla="*/ 0 60000 65536"/>
                            <a:gd name="T8" fmla="*/ 0 60000 65536"/>
                            <a:gd name="T9" fmla="*/ 0 w 91"/>
                            <a:gd name="T10" fmla="*/ 0 h 119"/>
                            <a:gd name="T11" fmla="*/ 91 w 91"/>
                            <a:gd name="T12" fmla="*/ 119 h 119"/>
                          </a:gdLst>
                          <a:ahLst/>
                          <a:cxnLst>
                            <a:cxn ang="T6">
                              <a:pos x="T0" y="T1"/>
                            </a:cxn>
                            <a:cxn ang="T7">
                              <a:pos x="T2" y="T3"/>
                            </a:cxn>
                            <a:cxn ang="T8">
                              <a:pos x="T4" y="T5"/>
                            </a:cxn>
                          </a:cxnLst>
                          <a:rect l="T9" t="T10" r="T11" b="T12"/>
                          <a:pathLst>
                            <a:path w="91" h="119">
                              <a:moveTo>
                                <a:pt x="0" y="119"/>
                              </a:moveTo>
                              <a:cubicBezTo>
                                <a:pt x="0" y="88"/>
                                <a:pt x="0" y="57"/>
                                <a:pt x="15" y="37"/>
                              </a:cubicBezTo>
                              <a:cubicBezTo>
                                <a:pt x="30" y="17"/>
                                <a:pt x="78" y="6"/>
                                <a:pt x="91" y="0"/>
                              </a:cubicBezTo>
                            </a:path>
                          </a:pathLst>
                        </a:custGeom>
                        <a:noFill/>
                        <a:ln w="9525">
                          <a:solidFill>
                            <a:srgbClr val="000000"/>
                          </a:solidFill>
                          <a:round/>
                          <a:headEnd type="stealth" w="med" len="med"/>
                          <a:tailEnd/>
                        </a:ln>
                      </wps:spPr>
                      <wps:bodyPr/>
                    </wps:wsp>
                  </a:graphicData>
                </a:graphic>
                <wp14:sizeRelH relativeFrom="page">
                  <wp14:pctWidth>0</wp14:pctWidth>
                </wp14:sizeRelH>
                <wp14:sizeRelV relativeFrom="page">
                  <wp14:pctHeight>0</wp14:pctHeight>
                </wp14:sizeRelV>
              </wp:anchor>
            </w:drawing>
          </mc:Choice>
          <mc:Fallback>
            <w:pict>
              <v:shape id="Freeform 8" o:spid="_x0000_s1026" style="position:absolute;margin-left:-288.95pt;margin-top:5.35pt;width:19.45pt;height:97.45pt;rotation:133758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11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" path="m0,119c0,88,,57,15,37,30,17,78,6,91,0e" filled="f">
                <v:stroke startarrow="classic"/>
                <v:path arrowok="t" o:connecttype="custom" o:connectlocs="0,1237788;40717,384858;247015,0" o:connectangles="0,0,0" textboxrect="0,0,91,119"/>
              </v:shape>
            </w:pict>
          </mc:Fallback>
        </mc:AlternateContent>
      </w:r>
    </w:p>
    <w:p w14:paraId="4A3D2D98" w14:textId="25602221" w:rsidR="006E7DDC" w:rsidRDefault="006E7DDC" w:rsidP="00AA4B3C">
      <w:pPr>
        <w:ind w:right="-720"/>
      </w:pPr>
    </w:p>
    <w:p w14:paraId="280AF890" w14:textId="5DE2459E" w:rsidR="006E7DDC" w:rsidRDefault="00EA63BA" w:rsidP="00AA4B3C">
      <w:pPr>
        <w:ind w:right="-720"/>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73EDD98A" wp14:editId="2EE1159B">
                <wp:simplePos x="0" y="0"/>
                <wp:positionH relativeFrom="column">
                  <wp:posOffset>-2947670</wp:posOffset>
                </wp:positionH>
                <wp:positionV relativeFrom="paragraph">
                  <wp:posOffset>113665</wp:posOffset>
                </wp:positionV>
                <wp:extent cx="374650" cy="840740"/>
                <wp:effectExtent l="203200" t="0" r="158750" b="0"/>
                <wp:wrapNone/>
                <wp:docPr id="103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224593">
                          <a:off x="0" y="0"/>
                          <a:ext cx="374650" cy="840740"/>
                        </a:xfrm>
                        <a:custGeom>
                          <a:avLst/>
                          <a:gdLst>
                            <a:gd name="T0" fmla="*/ 0 w 91"/>
                            <a:gd name="T1" fmla="*/ 119 h 119"/>
                            <a:gd name="T2" fmla="*/ 15 w 91"/>
                            <a:gd name="T3" fmla="*/ 37 h 119"/>
                            <a:gd name="T4" fmla="*/ 91 w 91"/>
                            <a:gd name="T5" fmla="*/ 0 h 119"/>
                            <a:gd name="T6" fmla="*/ 0 60000 65536"/>
                            <a:gd name="T7" fmla="*/ 0 60000 65536"/>
                            <a:gd name="T8" fmla="*/ 0 60000 65536"/>
                            <a:gd name="T9" fmla="*/ 0 w 91"/>
                            <a:gd name="T10" fmla="*/ 0 h 119"/>
                            <a:gd name="T11" fmla="*/ 91 w 91"/>
                            <a:gd name="T12" fmla="*/ 119 h 119"/>
                          </a:gdLst>
                          <a:ahLst/>
                          <a:cxnLst>
                            <a:cxn ang="T6">
                              <a:pos x="T0" y="T1"/>
                            </a:cxn>
                            <a:cxn ang="T7">
                              <a:pos x="T2" y="T3"/>
                            </a:cxn>
                            <a:cxn ang="T8">
                              <a:pos x="T4" y="T5"/>
                            </a:cxn>
                          </a:cxnLst>
                          <a:rect l="T9" t="T10" r="T11" b="T12"/>
                          <a:pathLst>
                            <a:path w="91" h="119">
                              <a:moveTo>
                                <a:pt x="0" y="119"/>
                              </a:moveTo>
                              <a:cubicBezTo>
                                <a:pt x="0" y="88"/>
                                <a:pt x="0" y="57"/>
                                <a:pt x="15" y="37"/>
                              </a:cubicBezTo>
                              <a:cubicBezTo>
                                <a:pt x="30" y="17"/>
                                <a:pt x="78" y="6"/>
                                <a:pt x="91" y="0"/>
                              </a:cubicBezTo>
                            </a:path>
                          </a:pathLst>
                        </a:custGeom>
                        <a:noFill/>
                        <a:ln w="9525">
                          <a:solidFill>
                            <a:srgbClr val="000000"/>
                          </a:solidFill>
                          <a:round/>
                          <a:headEnd type="stealth" w="med" len="med"/>
                          <a:tailEnd/>
                        </a:ln>
                      </wps:spPr>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232.05pt;margin-top:8.95pt;width:29.5pt;height:66.2pt;rotation:1337582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11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" path="m0,119c0,88,,57,15,37,30,17,78,6,91,0e" filled="f">
                <v:stroke startarrow="classic"/>
                <v:path arrowok="t" o:connecttype="custom" o:connectlocs="0,840740;61755,261407;374650,0" o:connectangles="0,0,0" textboxrect="0,0,91,119"/>
              </v:shape>
            </w:pict>
          </mc:Fallback>
        </mc:AlternateContent>
      </w:r>
    </w:p>
    <w:p w14:paraId="47EE65B5" w14:textId="7C20E31A" w:rsidR="006E7DDC" w:rsidRDefault="00EA63BA" w:rsidP="00AA4B3C">
      <w:pPr>
        <w:ind w:right="-720"/>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7C800797" wp14:editId="2C5BE8C4">
                <wp:simplePos x="0" y="0"/>
                <wp:positionH relativeFrom="column">
                  <wp:posOffset>-4380865</wp:posOffset>
                </wp:positionH>
                <wp:positionV relativeFrom="paragraph">
                  <wp:posOffset>144780</wp:posOffset>
                </wp:positionV>
                <wp:extent cx="342900" cy="114300"/>
                <wp:effectExtent l="0" t="0" r="88900" b="88900"/>
                <wp:wrapNone/>
                <wp:docPr id="1040" name="Line 10"/>
                <wp:cNvGraphicFramePr/>
                <a:graphic xmlns:a="http://schemas.openxmlformats.org/drawingml/2006/main">
                  <a:graphicData uri="http://schemas.microsoft.com/office/word/2010/wordprocessingShape">
                    <wps:wsp>
                      <wps:cNvCnPr/>
                      <wps:spPr bwMode="auto">
                        <a:xfrm>
                          <a:off x="0" y="0"/>
                          <a:ext cx="342900" cy="1143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9pt,11.4pt" to="-317.9pt,2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">
                <v:stroke endarrow="block"/>
              </v:line>
            </w:pict>
          </mc:Fallback>
        </mc:AlternateContent>
      </w:r>
    </w:p>
    <w:p w14:paraId="1FC0AFD7" w14:textId="77777777" w:rsidR="006E7DDC" w:rsidRDefault="006E7DDC" w:rsidP="00AA4B3C">
      <w:pPr>
        <w:ind w:right="-720"/>
      </w:pPr>
    </w:p>
    <w:p w14:paraId="3E2691D7" w14:textId="77777777" w:rsidR="006E7DDC" w:rsidRDefault="006E7DDC" w:rsidP="00AA4B3C">
      <w:pPr>
        <w:ind w:right="-720"/>
      </w:pPr>
    </w:p>
    <w:p w14:paraId="68B5AA90" w14:textId="77777777" w:rsidR="006E7DDC" w:rsidRDefault="006E7DDC" w:rsidP="00AA4B3C">
      <w:pPr>
        <w:ind w:right="-720"/>
      </w:pPr>
    </w:p>
    <w:p w14:paraId="1C5D3EC4" w14:textId="77777777" w:rsidR="006E7DDC" w:rsidRDefault="006E7DDC" w:rsidP="00AA4B3C">
      <w:pPr>
        <w:ind w:right="-720"/>
      </w:pPr>
    </w:p>
    <w:p w14:paraId="403DA09F" w14:textId="77777777" w:rsidR="006E7DDC" w:rsidRDefault="006E7DDC" w:rsidP="00AA4B3C">
      <w:pPr>
        <w:ind w:right="-720"/>
      </w:pPr>
    </w:p>
    <w:p w14:paraId="1747CF2D" w14:textId="77777777" w:rsidR="006E7DDC" w:rsidRDefault="006E7DDC" w:rsidP="00AA4B3C">
      <w:pPr>
        <w:ind w:right="-720"/>
      </w:pPr>
    </w:p>
    <w:p w14:paraId="38E3BBE7" w14:textId="77777777" w:rsidR="006E7DDC" w:rsidRDefault="006E7DDC" w:rsidP="00AA4B3C">
      <w:pPr>
        <w:ind w:right="-720"/>
      </w:pPr>
    </w:p>
    <w:p w14:paraId="13AC5C7F" w14:textId="77777777" w:rsidR="006E7DDC" w:rsidRDefault="006E7DDC" w:rsidP="00AA4B3C">
      <w:pPr>
        <w:ind w:right="-720"/>
        <w:rPr>
          <w:b/>
          <w:u w:val="single"/>
        </w:rPr>
      </w:pPr>
      <w:r>
        <w:t>P</w:t>
      </w:r>
      <w:r>
        <w:rPr>
          <w:b/>
          <w:u w:val="single"/>
        </w:rPr>
        <w:t>.617</w:t>
      </w:r>
    </w:p>
    <w:p w14:paraId="566523DD" w14:textId="77777777" w:rsidR="006E7DDC" w:rsidRDefault="006E7DDC" w:rsidP="00AA4B3C">
      <w:pPr>
        <w:ind w:right="-720"/>
        <w:jc w:val="both"/>
        <w:rPr>
          <w:b/>
          <w:u w:val="single"/>
        </w:rPr>
      </w:pPr>
    </w:p>
    <w:p w14:paraId="011DCA2D" w14:textId="77777777" w:rsidR="006E7DDC" w:rsidRDefault="006E7DDC" w:rsidP="00AA4B3C">
      <w:pPr>
        <w:ind w:right="-720"/>
        <w:jc w:val="both"/>
        <w:rPr>
          <w:b/>
        </w:rPr>
      </w:pPr>
      <w:r w:rsidRPr="00DF2FD9">
        <w:rPr>
          <w:b/>
        </w:rPr>
        <w:t>18.2.3.2</w:t>
      </w:r>
      <w:r>
        <w:rPr>
          <w:b/>
        </w:rPr>
        <w:t xml:space="preserve"> Standard Error of Survival Rate</w:t>
      </w:r>
    </w:p>
    <w:p w14:paraId="6EE1E19C" w14:textId="77777777" w:rsidR="006E7DDC" w:rsidRDefault="006E7DDC" w:rsidP="00AA4B3C">
      <w:pPr>
        <w:ind w:right="-720"/>
        <w:jc w:val="both"/>
      </w:pPr>
      <w:r w:rsidRPr="00DF2FD9">
        <w:t xml:space="preserve">As </w:t>
      </w:r>
      <w:r>
        <w:t xml:space="preserve">you might have expected, if the expression for survival function is messy, the standard error (SE) </w:t>
      </w:r>
      <w:proofErr w:type="gramStart"/>
      <w:r>
        <w:t>can not</w:t>
      </w:r>
      <w:proofErr w:type="gramEnd"/>
      <w:r>
        <w:t xml:space="preserve"> be simple. However if deaths are not too many at any time point and if you started with sufficiently number of subjects so that the number of survivors remains reasonably large at the end, the SE can be approximated by</w:t>
      </w:r>
    </w:p>
    <w:p w14:paraId="6A98FF87" w14:textId="235E5E7A" w:rsidR="006E7DDC" w:rsidRDefault="006E7DDC" w:rsidP="00AA4B3C">
      <w:pPr>
        <w:ind w:right="-720" w:firstLine="720"/>
        <w:jc w:val="both"/>
      </w:pPr>
      <w:proofErr w:type="gramStart"/>
      <w:r>
        <w:t>SE(</w:t>
      </w:r>
      <w:proofErr w:type="spellStart"/>
      <w:proofErr w:type="gramEnd"/>
      <w:r w:rsidRPr="00DF2FD9">
        <w:rPr>
          <w:i/>
        </w:rPr>
        <w:t>s</w:t>
      </w:r>
      <w:r w:rsidRPr="00DF2FD9">
        <w:rPr>
          <w:i/>
          <w:vertAlign w:val="subscript"/>
        </w:rPr>
        <w:t>i</w:t>
      </w:r>
      <w:proofErr w:type="spellEnd"/>
      <w:r>
        <w:t xml:space="preserve">) </w:t>
      </w:r>
      <m:oMath>
        <m:r>
          <w:rPr>
            <w:rFonts w:ascii="Cambria Math" w:hAnsi="Cambria Math"/>
          </w:rPr>
          <m:t>≈</m:t>
        </m:r>
      </m:oMath>
      <w:r>
        <w:t xml:space="preserve"> </w:t>
      </w:r>
      <w:r w:rsidRPr="00DF2FD9">
        <w:rPr>
          <w:position w:val="-28"/>
        </w:rPr>
        <w:object w:dxaOrig="1020" w:dyaOrig="680" w14:anchorId="3CD10D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5pt;height:34pt" o:ole="">
            <v:imagedata r:id="rId8" o:title=""/>
          </v:shape>
          <o:OLEObject Type="Embed" ProgID="Equation.3" ShapeID="_x0000_i1025" DrawAspect="Content" ObjectID="_1235389813" r:id="rId9"/>
        </w:object>
      </w:r>
      <w:r w:rsidRPr="00DF2FD9">
        <w:t xml:space="preserve"> </w:t>
      </w:r>
    </w:p>
    <w:p w14:paraId="4990881D" w14:textId="37E30E46" w:rsidR="006E7DDC" w:rsidRDefault="006E7DDC" w:rsidP="00AA4B3C">
      <w:pPr>
        <w:ind w:right="-720"/>
        <w:jc w:val="both"/>
      </w:pPr>
      <w:r>
        <w:t xml:space="preserve">This is the same as you have seen for proportions. The SE would be different for different points of time just as survival </w:t>
      </w:r>
      <w:proofErr w:type="spellStart"/>
      <w:r w:rsidRPr="00C02441">
        <w:rPr>
          <w:i/>
        </w:rPr>
        <w:t>s</w:t>
      </w:r>
      <w:r w:rsidRPr="00C02441">
        <w:rPr>
          <w:i/>
          <w:vertAlign w:val="subscript"/>
        </w:rPr>
        <w:t>i</w:t>
      </w:r>
      <w:proofErr w:type="spellEnd"/>
      <w:r>
        <w:rPr>
          <w:vertAlign w:val="subscript"/>
        </w:rPr>
        <w:t xml:space="preserve"> </w:t>
      </w:r>
      <w:r w:rsidR="00AA4B3C">
        <w:t xml:space="preserve">and number of survivors </w:t>
      </w:r>
      <w:proofErr w:type="spellStart"/>
      <w:r w:rsidR="00AA4B3C" w:rsidRPr="00AA4B3C">
        <w:rPr>
          <w:i/>
        </w:rPr>
        <w:t>n</w:t>
      </w:r>
      <w:r w:rsidR="00AA4B3C">
        <w:rPr>
          <w:i/>
        </w:rPr>
        <w:softHyphen/>
      </w:r>
      <w:r w:rsidR="00AA4B3C" w:rsidRPr="00AA4B3C">
        <w:rPr>
          <w:i/>
          <w:vertAlign w:val="subscript"/>
        </w:rPr>
        <w:t>i</w:t>
      </w:r>
      <w:proofErr w:type="spellEnd"/>
      <w:r w:rsidR="00AA4B3C">
        <w:t xml:space="preserve"> are</w:t>
      </w:r>
      <w:r>
        <w:t>. For life-table survival also, the approximate SE</w:t>
      </w:r>
      <w:r w:rsidRPr="009F27BB">
        <w:t>s</w:t>
      </w:r>
      <w:r>
        <w:t xml:space="preserve"> are the same – just that the subscript </w:t>
      </w:r>
      <w:proofErr w:type="spellStart"/>
      <w:r>
        <w:rPr>
          <w:i/>
        </w:rPr>
        <w:t>i</w:t>
      </w:r>
      <w:proofErr w:type="spellEnd"/>
      <w:r>
        <w:t xml:space="preserve"> is replaced by subscript </w:t>
      </w:r>
      <w:r w:rsidRPr="002E38BF">
        <w:rPr>
          <w:i/>
        </w:rPr>
        <w:t>k</w:t>
      </w:r>
      <w:r>
        <w:t>.</w:t>
      </w:r>
    </w:p>
    <w:p w14:paraId="48C2A204" w14:textId="77777777" w:rsidR="006E7DDC" w:rsidRDefault="006E7DDC" w:rsidP="00AA4B3C">
      <w:pPr>
        <w:ind w:right="-720" w:firstLine="720"/>
        <w:jc w:val="both"/>
      </w:pPr>
      <w:r>
        <w:t xml:space="preserve">In view of small </w:t>
      </w:r>
      <w:proofErr w:type="spellStart"/>
      <w:proofErr w:type="gramStart"/>
      <w:r w:rsidRPr="00212523">
        <w:rPr>
          <w:i/>
        </w:rPr>
        <w:t>n</w:t>
      </w:r>
      <w:r w:rsidRPr="00212523">
        <w:rPr>
          <w:i/>
        </w:rPr>
        <w:softHyphen/>
      </w:r>
      <w:r>
        <w:rPr>
          <w:i/>
          <w:vertAlign w:val="subscript"/>
        </w:rPr>
        <w:t>i</w:t>
      </w:r>
      <w:proofErr w:type="spellEnd"/>
      <w:proofErr w:type="gramEnd"/>
      <w:r>
        <w:t xml:space="preserve"> in Table 18.4, you can see that this SE would not be applicable for these data. Even when </w:t>
      </w:r>
      <w:r w:rsidRPr="002E38BF">
        <w:rPr>
          <w:i/>
        </w:rPr>
        <w:t>n</w:t>
      </w:r>
      <w:r>
        <w:t xml:space="preserve"> is large, note from SE that it increases (the precision declines) with time as the survival reduces and it is based on fewer and fewer subjects.</w:t>
      </w:r>
    </w:p>
    <w:p w14:paraId="6DCE595A" w14:textId="77777777" w:rsidR="006E7DDC" w:rsidRDefault="006E7DDC" w:rsidP="00AA4B3C">
      <w:pPr>
        <w:ind w:right="-720"/>
        <w:jc w:val="both"/>
      </w:pPr>
    </w:p>
    <w:p w14:paraId="2046D319" w14:textId="77777777" w:rsidR="006E7DDC" w:rsidRDefault="006E7DDC" w:rsidP="00AA4B3C">
      <w:pPr>
        <w:ind w:right="-720"/>
        <w:jc w:val="both"/>
        <w:rPr>
          <w:b/>
          <w:u w:val="single"/>
        </w:rPr>
      </w:pPr>
      <w:r>
        <w:rPr>
          <w:b/>
          <w:u w:val="single"/>
        </w:rPr>
        <w:t>P.618</w:t>
      </w:r>
    </w:p>
    <w:p w14:paraId="581D343B" w14:textId="77777777" w:rsidR="006E7DDC" w:rsidRDefault="006E7DDC" w:rsidP="00AA4B3C">
      <w:pPr>
        <w:ind w:right="-720"/>
        <w:jc w:val="both"/>
        <w:rPr>
          <w:b/>
          <w:u w:val="single"/>
        </w:rPr>
      </w:pPr>
    </w:p>
    <w:p w14:paraId="7369A694" w14:textId="77777777" w:rsidR="006E7DDC" w:rsidRDefault="006E7DDC" w:rsidP="00AA4B3C">
      <w:pPr>
        <w:ind w:right="-720"/>
        <w:jc w:val="both"/>
      </w:pPr>
      <w:r>
        <w:t>One rather simple estimate of cumulative hazard function is</w:t>
      </w:r>
    </w:p>
    <w:p w14:paraId="3728723A" w14:textId="77777777" w:rsidR="006E7DDC" w:rsidRDefault="006E7DDC" w:rsidP="00AA4B3C">
      <w:pPr>
        <w:ind w:right="-720" w:firstLine="720"/>
        <w:jc w:val="both"/>
      </w:pPr>
      <w:r w:rsidRPr="002E38BF">
        <w:rPr>
          <w:position w:val="-32"/>
        </w:rPr>
        <w:object w:dxaOrig="1359" w:dyaOrig="700" w14:anchorId="3AEF0CA8">
          <v:shape id="_x0000_i1026" type="#_x0000_t75" style="width:68pt;height:35.35pt" o:ole="">
            <v:imagedata r:id="rId10" o:title=""/>
          </v:shape>
          <o:OLEObject Type="Embed" ProgID="Equation.3" ShapeID="_x0000_i1026" DrawAspect="Content" ObjectID="_1235389814" r:id="rId11"/>
        </w:object>
      </w:r>
      <w:r>
        <w:t xml:space="preserve">. </w:t>
      </w:r>
    </w:p>
    <w:p w14:paraId="25B2FBA8" w14:textId="5A940A37" w:rsidR="006E7DDC" w:rsidRDefault="006E7DDC" w:rsidP="00AA4B3C">
      <w:pPr>
        <w:ind w:right="-720"/>
        <w:jc w:val="both"/>
      </w:pPr>
      <w:r>
        <w:t xml:space="preserve">This is </w:t>
      </w:r>
      <w:r w:rsidR="00AA4B3C">
        <w:t xml:space="preserve">a </w:t>
      </w:r>
      <w:r>
        <w:t>nonparametric</w:t>
      </w:r>
      <w:r w:rsidR="00AA4B3C">
        <w:t xml:space="preserve"> estimate</w:t>
      </w:r>
      <w:r>
        <w:t>.</w:t>
      </w:r>
    </w:p>
    <w:p w14:paraId="19BF16FA" w14:textId="33B81D67" w:rsidR="006E7DDC" w:rsidRDefault="006E7DDC" w:rsidP="00AA4B3C">
      <w:pPr>
        <w:ind w:right="-720"/>
        <w:jc w:val="both"/>
      </w:pPr>
      <w:r>
        <w:tab/>
        <w:t xml:space="preserve">Many workers feel that parametric models impose difficult-to-justify restrictions. Also, there are many options and prior information is rarely available to make a correct choice. You may have to try more than one model to get an adequate fit. </w:t>
      </w:r>
      <w:proofErr w:type="spellStart"/>
      <w:r>
        <w:t>Semiparametric</w:t>
      </w:r>
      <w:proofErr w:type="spellEnd"/>
      <w:r>
        <w:t xml:space="preserve"> model, particularly Cox discussed earlier, is more flexible and safer. This has become a standard choice for many applications.</w:t>
      </w:r>
    </w:p>
    <w:p w14:paraId="52E13E66" w14:textId="77777777" w:rsidR="006E7DDC" w:rsidRDefault="006E7DDC" w:rsidP="00AA4B3C">
      <w:pPr>
        <w:ind w:right="-720"/>
        <w:jc w:val="both"/>
      </w:pPr>
      <w:r>
        <w:tab/>
        <w:t xml:space="preserve">If your interest in a parametric model persists, the estimates of the parameters can be generally obtained by least square regression. Luckily the three commonly used parametric models just discussed can be converted to linear form by suitable transformation. For example, </w:t>
      </w:r>
      <w:proofErr w:type="spellStart"/>
      <w:r>
        <w:t>Weibull</w:t>
      </w:r>
      <w:proofErr w:type="spellEnd"/>
      <w:r>
        <w:t xml:space="preserve"> in eq. (18.12) reduces to </w:t>
      </w:r>
    </w:p>
    <w:p w14:paraId="2623B722" w14:textId="77777777" w:rsidR="006E7DDC" w:rsidRDefault="006E7DDC" w:rsidP="00AA4B3C">
      <w:pPr>
        <w:ind w:right="-720" w:firstLine="720"/>
        <w:jc w:val="both"/>
        <w:rPr>
          <w:lang w:val="fr-FR"/>
        </w:rPr>
      </w:pPr>
      <w:r w:rsidRPr="00FD4033">
        <w:rPr>
          <w:lang w:val="fr-FR"/>
        </w:rPr>
        <w:t>–</w:t>
      </w:r>
      <w:proofErr w:type="gramStart"/>
      <w:r w:rsidRPr="00FD4033">
        <w:rPr>
          <w:lang w:val="fr-FR"/>
        </w:rPr>
        <w:t>ln[</w:t>
      </w:r>
      <w:proofErr w:type="gramEnd"/>
      <w:r w:rsidRPr="00FD4033">
        <w:rPr>
          <w:lang w:val="fr-FR"/>
        </w:rPr>
        <w:t xml:space="preserve">ln(1 – </w:t>
      </w:r>
      <w:r>
        <w:rPr>
          <w:i/>
          <w:lang w:val="fr-FR"/>
        </w:rPr>
        <w:t>H</w:t>
      </w:r>
      <w:r w:rsidRPr="00FD4033">
        <w:rPr>
          <w:lang w:val="fr-FR"/>
        </w:rPr>
        <w:t>(</w:t>
      </w:r>
      <w:r w:rsidRPr="00FD4033">
        <w:rPr>
          <w:i/>
          <w:lang w:val="fr-FR"/>
        </w:rPr>
        <w:t>t</w:t>
      </w:r>
      <w:r w:rsidRPr="00FD4033">
        <w:rPr>
          <w:lang w:val="fr-FR"/>
        </w:rPr>
        <w:t xml:space="preserve">))] = ln </w:t>
      </w:r>
      <w:r w:rsidRPr="00FD4033">
        <w:rPr>
          <w:i/>
        </w:rPr>
        <w:t>λ</w:t>
      </w:r>
      <w:r w:rsidRPr="00FD4033">
        <w:rPr>
          <w:lang w:val="fr-FR"/>
        </w:rPr>
        <w:t xml:space="preserve"> + </w:t>
      </w:r>
      <w:r>
        <w:t>α</w:t>
      </w:r>
      <w:r w:rsidRPr="00FD4033">
        <w:rPr>
          <w:lang w:val="fr-FR"/>
        </w:rPr>
        <w:t xml:space="preserve"> ln</w:t>
      </w:r>
      <w:r>
        <w:rPr>
          <w:lang w:val="fr-FR"/>
        </w:rPr>
        <w:t xml:space="preserve"> </w:t>
      </w:r>
      <w:r w:rsidRPr="00FD4033">
        <w:rPr>
          <w:i/>
          <w:lang w:val="fr-FR"/>
        </w:rPr>
        <w:t>t</w:t>
      </w:r>
      <w:r>
        <w:rPr>
          <w:i/>
          <w:lang w:val="fr-FR"/>
        </w:rPr>
        <w:t>.</w:t>
      </w:r>
    </w:p>
    <w:p w14:paraId="4335524B" w14:textId="77777777" w:rsidR="006E7DDC" w:rsidRPr="00FD4033" w:rsidRDefault="006E7DDC" w:rsidP="00AA4B3C">
      <w:pPr>
        <w:ind w:right="-720"/>
        <w:jc w:val="both"/>
      </w:pPr>
      <w:r w:rsidRPr="00FD4033">
        <w:t xml:space="preserve">Thus, </w:t>
      </w:r>
      <w:r>
        <w:t xml:space="preserve">usual </w:t>
      </w:r>
      <w:r w:rsidRPr="00FD4033">
        <w:t>regression estimates can be obtained.</w:t>
      </w:r>
    </w:p>
    <w:p w14:paraId="6FA2D0E6" w14:textId="77777777" w:rsidR="006E7DDC" w:rsidRDefault="006E7DDC" w:rsidP="00AA4B3C">
      <w:pPr>
        <w:ind w:right="-720"/>
        <w:jc w:val="both"/>
      </w:pPr>
    </w:p>
    <w:p w14:paraId="5434F699" w14:textId="77777777" w:rsidR="006E7DDC" w:rsidRDefault="006E7DDC" w:rsidP="00AA4B3C">
      <w:pPr>
        <w:ind w:right="-720"/>
        <w:jc w:val="both"/>
      </w:pPr>
    </w:p>
    <w:p w14:paraId="0EE52CEB" w14:textId="77777777" w:rsidR="006E7DDC" w:rsidRDefault="006E7DDC" w:rsidP="00AA4B3C">
      <w:pPr>
        <w:ind w:right="-720"/>
        <w:jc w:val="both"/>
      </w:pPr>
      <w:r>
        <w:t>P620</w:t>
      </w:r>
    </w:p>
    <w:p w14:paraId="08F8E4FA" w14:textId="77777777" w:rsidR="006E7DDC" w:rsidRDefault="006E7DDC" w:rsidP="00AA4B3C">
      <w:pPr>
        <w:ind w:right="-720"/>
        <w:jc w:val="both"/>
      </w:pPr>
    </w:p>
    <w:p w14:paraId="4F7507BD" w14:textId="77777777" w:rsidR="006E7DDC" w:rsidRPr="00A008D9" w:rsidRDefault="006E7DDC" w:rsidP="00AA4B3C">
      <w:pPr>
        <w:ind w:right="-720"/>
        <w:jc w:val="both"/>
      </w:pPr>
      <w:r>
        <w:t xml:space="preserve">It requires that censoring in both the groups is independent of survival process. Patients getting worse or better treatment should not dropout quicker than others. Also, log-rank method is valid when all time points are equally important. Sometimes time points with higher number of subjects at risk are given more weight. In that case, another method such as </w:t>
      </w:r>
      <w:proofErr w:type="spellStart"/>
      <w:r>
        <w:t>Breslow</w:t>
      </w:r>
      <w:proofErr w:type="spellEnd"/>
      <w:r>
        <w:t xml:space="preserve"> test should be used. This is also known as </w:t>
      </w:r>
      <w:proofErr w:type="spellStart"/>
      <w:r>
        <w:t>Gehan-Breslow</w:t>
      </w:r>
      <w:proofErr w:type="spellEnd"/>
      <w:r>
        <w:t xml:space="preserve"> test and generalized Wilcoxon test. For details see </w:t>
      </w:r>
      <w:proofErr w:type="spellStart"/>
      <w:r>
        <w:t>Hosmer</w:t>
      </w:r>
      <w:proofErr w:type="spellEnd"/>
      <w:r>
        <w:t xml:space="preserve"> DW and </w:t>
      </w:r>
      <w:proofErr w:type="spellStart"/>
      <w:r>
        <w:t>Lemeshow</w:t>
      </w:r>
      <w:proofErr w:type="spellEnd"/>
      <w:r>
        <w:t xml:space="preserve"> (Applied Survival Analysis: Regression Modeling of Time to Event Data. </w:t>
      </w:r>
      <w:proofErr w:type="gramStart"/>
      <w:r>
        <w:t xml:space="preserve">Wiley </w:t>
      </w:r>
      <w:proofErr w:type="spellStart"/>
      <w:r>
        <w:t>Interscience</w:t>
      </w:r>
      <w:proofErr w:type="spellEnd"/>
      <w:r>
        <w:t xml:space="preserve"> 1998; p60).</w:t>
      </w:r>
      <w:proofErr w:type="gramEnd"/>
      <w:r>
        <w:t xml:space="preserve"> Since this test gives more weight to the time points with higher number of subjects, initial time points tend to decide the statistical significance where the number of subjects at risk is higher. As time passes, subjects die or dropout and the numbers become smaller. Thus log-rank tends to give relatively higher weight to the earlier time points—thus is more likely to detect differences at earlier </w:t>
      </w:r>
      <w:r w:rsidRPr="009341BA">
        <w:rPr>
          <w:color w:val="C00000"/>
        </w:rPr>
        <w:t>(check)</w:t>
      </w:r>
      <w:r>
        <w:t xml:space="preserve"> time points. As a middle path some prefer </w:t>
      </w:r>
      <w:proofErr w:type="spellStart"/>
      <w:r>
        <w:t>Tarone</w:t>
      </w:r>
      <w:proofErr w:type="spellEnd"/>
      <w:r>
        <w:t>-Ware test that gives weight proportional to √</w:t>
      </w:r>
      <w:proofErr w:type="spellStart"/>
      <w:r w:rsidRPr="00A008D9">
        <w:rPr>
          <w:i/>
        </w:rPr>
        <w:t>n</w:t>
      </w:r>
      <w:r w:rsidRPr="00A008D9">
        <w:rPr>
          <w:i/>
          <w:vertAlign w:val="subscript"/>
        </w:rPr>
        <w:t>t</w:t>
      </w:r>
      <w:proofErr w:type="spellEnd"/>
      <w:r>
        <w:t xml:space="preserve">, where </w:t>
      </w:r>
      <w:proofErr w:type="spellStart"/>
      <w:proofErr w:type="gramStart"/>
      <w:r w:rsidRPr="00A008D9">
        <w:rPr>
          <w:i/>
        </w:rPr>
        <w:t>n</w:t>
      </w:r>
      <w:r w:rsidRPr="00A008D9">
        <w:rPr>
          <w:i/>
          <w:vertAlign w:val="subscript"/>
        </w:rPr>
        <w:t>t</w:t>
      </w:r>
      <w:proofErr w:type="spellEnd"/>
      <w:proofErr w:type="gramEnd"/>
      <w:r>
        <w:t xml:space="preserve"> is the number at risk at time point </w:t>
      </w:r>
      <w:r w:rsidRPr="00A65599">
        <w:rPr>
          <w:i/>
        </w:rPr>
        <w:t>t</w:t>
      </w:r>
      <w:r>
        <w:t xml:space="preserve">. </w:t>
      </w:r>
    </w:p>
    <w:p w14:paraId="57B6AAFC" w14:textId="77777777" w:rsidR="006E7DDC" w:rsidRDefault="006E7DDC" w:rsidP="00AA4B3C">
      <w:pPr>
        <w:ind w:right="-720"/>
      </w:pPr>
    </w:p>
    <w:p w14:paraId="15CA70C6" w14:textId="77777777" w:rsidR="006E7DDC" w:rsidRDefault="006E7DDC" w:rsidP="00AA4B3C">
      <w:pPr>
        <w:ind w:right="-720"/>
        <w:jc w:val="both"/>
        <w:rPr>
          <w:b/>
          <w:u w:val="single"/>
        </w:rPr>
      </w:pPr>
      <w:r>
        <w:rPr>
          <w:b/>
          <w:u w:val="single"/>
        </w:rPr>
        <w:t>P.623</w:t>
      </w:r>
    </w:p>
    <w:p w14:paraId="12550CA3" w14:textId="77777777" w:rsidR="006E7DDC" w:rsidRDefault="006E7DDC" w:rsidP="00AA4B3C">
      <w:pPr>
        <w:pStyle w:val="Heading1"/>
        <w:tabs>
          <w:tab w:val="left" w:pos="720"/>
        </w:tabs>
        <w:ind w:right="-720"/>
      </w:pPr>
      <w:r>
        <w:t>18.3.2.2 Cox Model for Survival</w:t>
      </w:r>
    </w:p>
    <w:p w14:paraId="63D27F3C" w14:textId="77777777" w:rsidR="006E7DDC" w:rsidRPr="00E4608B" w:rsidRDefault="006E7DDC" w:rsidP="00AA4B3C">
      <w:pPr>
        <w:tabs>
          <w:tab w:val="left" w:pos="720"/>
        </w:tabs>
        <w:ind w:right="-720"/>
      </w:pPr>
      <w:r w:rsidRPr="00E4608B">
        <w:t xml:space="preserve">Recall that the Cox regression mentioned earlier in Chap. 17 is for any binary outcome. When </w:t>
      </w:r>
      <w:r w:rsidRPr="00E4608B">
        <w:rPr>
          <w:position w:val="-6"/>
        </w:rPr>
        <w:object w:dxaOrig="220" w:dyaOrig="340" w14:anchorId="7FC56DCE">
          <v:shape id="_x0000_i1027" type="#_x0000_t75" style="width:11.35pt;height:17.35pt" o:ole="">
            <v:imagedata r:id="rId12" o:title=""/>
          </v:shape>
          <o:OLEObject Type="Embed" ProgID="Equation.3" ShapeID="_x0000_i1027" DrawAspect="Content" ObjectID="_1235389815" r:id="rId13"/>
        </w:object>
      </w:r>
      <w:r w:rsidRPr="00E4608B">
        <w:t>(</w:t>
      </w:r>
      <w:r w:rsidRPr="00E4608B">
        <w:rPr>
          <w:i/>
        </w:rPr>
        <w:t>t</w:t>
      </w:r>
      <w:r w:rsidRPr="00E4608B">
        <w:t xml:space="preserve">) is replaced by </w:t>
      </w:r>
      <w:proofErr w:type="gramStart"/>
      <w:r w:rsidRPr="00E4608B">
        <w:rPr>
          <w:i/>
        </w:rPr>
        <w:t>h</w:t>
      </w:r>
      <w:r w:rsidRPr="00E4608B">
        <w:t>(</w:t>
      </w:r>
      <w:proofErr w:type="gramEnd"/>
      <w:r w:rsidRPr="00E4608B">
        <w:rPr>
          <w:i/>
        </w:rPr>
        <w:t>t</w:t>
      </w:r>
      <w:r w:rsidRPr="00E4608B">
        <w:t>), this is as follows.</w:t>
      </w:r>
    </w:p>
    <w:p w14:paraId="1D681F94" w14:textId="51E66C71" w:rsidR="006E7DDC" w:rsidRPr="00E4608B" w:rsidRDefault="006E7DDC" w:rsidP="00AA4B3C">
      <w:pPr>
        <w:widowControl w:val="0"/>
        <w:autoSpaceDE w:val="0"/>
        <w:autoSpaceDN w:val="0"/>
        <w:adjustRightInd w:val="0"/>
        <w:spacing w:line="244" w:lineRule="atLeast"/>
        <w:ind w:right="-720" w:firstLine="504"/>
        <w:rPr>
          <w:iCs/>
          <w:color w:val="000000"/>
        </w:rPr>
      </w:pPr>
      <w:r w:rsidRPr="00E4608B">
        <w:rPr>
          <w:iCs/>
          <w:color w:val="000000"/>
        </w:rPr>
        <w:t xml:space="preserve">Cox regression: </w:t>
      </w:r>
      <w:proofErr w:type="gramStart"/>
      <w:r w:rsidRPr="00E4608B">
        <w:rPr>
          <w:i/>
          <w:color w:val="000000"/>
        </w:rPr>
        <w:t>h</w:t>
      </w:r>
      <w:r w:rsidRPr="00E4608B">
        <w:rPr>
          <w:iCs/>
          <w:color w:val="000000"/>
        </w:rPr>
        <w:t>(</w:t>
      </w:r>
      <w:proofErr w:type="gramEnd"/>
      <w:r w:rsidRPr="00E4608B">
        <w:rPr>
          <w:i/>
          <w:color w:val="000000"/>
        </w:rPr>
        <w:t>t</w:t>
      </w:r>
      <w:r w:rsidRPr="00E4608B">
        <w:rPr>
          <w:iCs/>
          <w:color w:val="000000"/>
        </w:rPr>
        <w:t xml:space="preserve">) = </w:t>
      </w:r>
      <w:r w:rsidRPr="00E4608B">
        <w:rPr>
          <w:i/>
          <w:color w:val="000000"/>
        </w:rPr>
        <w:t>h</w:t>
      </w:r>
      <w:r w:rsidRPr="00E4608B">
        <w:rPr>
          <w:color w:val="000000"/>
          <w:vertAlign w:val="subscript"/>
        </w:rPr>
        <w:t>0</w:t>
      </w:r>
      <w:r w:rsidRPr="00E4608B">
        <w:rPr>
          <w:iCs/>
          <w:color w:val="000000"/>
        </w:rPr>
        <w:t>(</w:t>
      </w:r>
      <w:r w:rsidRPr="00E4608B">
        <w:rPr>
          <w:i/>
          <w:color w:val="000000"/>
        </w:rPr>
        <w:t>t</w:t>
      </w:r>
      <w:r w:rsidRPr="00E4608B">
        <w:rPr>
          <w:iCs/>
          <w:color w:val="000000"/>
        </w:rPr>
        <w:t>)</w:t>
      </w:r>
      <w:r w:rsidR="00455122" w:rsidRPr="00E4608B">
        <w:rPr>
          <w:position w:val="-6"/>
        </w:rPr>
        <w:object w:dxaOrig="1280" w:dyaOrig="360" w14:anchorId="6EB0885B">
          <v:shape id="_x0000_i1057" type="#_x0000_t75" style="width:64pt;height:18pt" o:ole="">
            <v:imagedata r:id="rId14" o:title=""/>
          </v:shape>
          <o:OLEObject Type="Embed" ProgID="Equation.3" ShapeID="_x0000_i1057" DrawAspect="Content" ObjectID="_1235389816" r:id="rId15"/>
        </w:object>
      </w:r>
      <w:r w:rsidRPr="00E4608B">
        <w:rPr>
          <w:iCs/>
          <w:color w:val="000000"/>
        </w:rPr>
        <w:t xml:space="preserve"> </w:t>
      </w:r>
      <w:r w:rsidR="00455122">
        <w:rPr>
          <w:iCs/>
          <w:color w:val="000000"/>
        </w:rPr>
        <w:tab/>
      </w:r>
      <w:r w:rsidR="00455122">
        <w:rPr>
          <w:iCs/>
          <w:color w:val="000000"/>
        </w:rPr>
        <w:tab/>
      </w:r>
      <w:r w:rsidR="00455122">
        <w:rPr>
          <w:iCs/>
          <w:color w:val="000000"/>
        </w:rPr>
        <w:tab/>
      </w:r>
      <w:r w:rsidR="00455122">
        <w:rPr>
          <w:iCs/>
          <w:color w:val="000000"/>
        </w:rPr>
        <w:tab/>
      </w:r>
      <w:r w:rsidR="00455122">
        <w:rPr>
          <w:iCs/>
          <w:color w:val="000000"/>
        </w:rPr>
        <w:tab/>
      </w:r>
      <w:r w:rsidR="00455122">
        <w:rPr>
          <w:iCs/>
          <w:color w:val="000000"/>
        </w:rPr>
        <w:tab/>
      </w:r>
      <w:bookmarkStart w:id="1" w:name="_GoBack"/>
      <w:bookmarkEnd w:id="1"/>
      <w:r w:rsidRPr="00E4608B">
        <w:rPr>
          <w:iCs/>
          <w:color w:val="000000"/>
        </w:rPr>
        <w:t>(18.a)</w:t>
      </w:r>
    </w:p>
    <w:p w14:paraId="3E903121" w14:textId="1CC6CB3E" w:rsidR="006E7DDC" w:rsidRPr="00E4608B" w:rsidRDefault="006E7DDC" w:rsidP="00AA4B3C">
      <w:pPr>
        <w:tabs>
          <w:tab w:val="left" w:pos="720"/>
        </w:tabs>
        <w:ind w:right="-720"/>
      </w:pPr>
      <w:r w:rsidRPr="00E4608B">
        <w:t xml:space="preserve">Consider now </w:t>
      </w:r>
      <w:proofErr w:type="gramStart"/>
      <w:r w:rsidRPr="00E4608B">
        <w:rPr>
          <w:i/>
        </w:rPr>
        <w:t>h</w:t>
      </w:r>
      <w:r w:rsidRPr="00E4608B">
        <w:t>(</w:t>
      </w:r>
      <w:proofErr w:type="gramEnd"/>
      <w:r w:rsidRPr="00E4608B">
        <w:rPr>
          <w:i/>
        </w:rPr>
        <w:t>t</w:t>
      </w:r>
      <w:r w:rsidRPr="00E4608B">
        <w:t xml:space="preserve">) in this equation as the hazard of death and </w:t>
      </w:r>
      <w:r w:rsidRPr="00E4608B">
        <w:rPr>
          <w:i/>
        </w:rPr>
        <w:t>h</w:t>
      </w:r>
      <w:r w:rsidRPr="00E4608B">
        <w:rPr>
          <w:iCs/>
          <w:color w:val="000000"/>
        </w:rPr>
        <w:t xml:space="preserve"> </w:t>
      </w:r>
      <w:r w:rsidRPr="00E4608B">
        <w:rPr>
          <w:iCs/>
          <w:color w:val="000000"/>
          <w:vertAlign w:val="subscript"/>
        </w:rPr>
        <w:t>0</w:t>
      </w:r>
      <w:r w:rsidRPr="00E4608B">
        <w:rPr>
          <w:iCs/>
          <w:color w:val="000000"/>
        </w:rPr>
        <w:t>(</w:t>
      </w:r>
      <w:r w:rsidRPr="00E4608B">
        <w:rPr>
          <w:i/>
          <w:color w:val="000000"/>
        </w:rPr>
        <w:t>t</w:t>
      </w:r>
      <w:r w:rsidRPr="00E4608B">
        <w:rPr>
          <w:iCs/>
          <w:color w:val="000000"/>
        </w:rPr>
        <w:t xml:space="preserve">) is the baseline hazard when all </w:t>
      </w:r>
      <w:proofErr w:type="spellStart"/>
      <w:r w:rsidRPr="00E4608B">
        <w:rPr>
          <w:i/>
          <w:iCs/>
          <w:color w:val="000000"/>
        </w:rPr>
        <w:t>x</w:t>
      </w:r>
      <w:r w:rsidRPr="00E4608B">
        <w:rPr>
          <w:iCs/>
          <w:color w:val="000000"/>
        </w:rPr>
        <w:t>s</w:t>
      </w:r>
      <w:proofErr w:type="spellEnd"/>
      <w:r w:rsidRPr="00E4608B">
        <w:rPr>
          <w:iCs/>
          <w:color w:val="000000"/>
        </w:rPr>
        <w:t xml:space="preserve"> are zero. </w:t>
      </w:r>
      <w:proofErr w:type="gramStart"/>
      <w:r w:rsidR="00731D7B" w:rsidRPr="00E4608B">
        <w:rPr>
          <w:i/>
          <w:iCs/>
          <w:color w:val="000000"/>
        </w:rPr>
        <w:t>h</w:t>
      </w:r>
      <w:r w:rsidR="00731D7B" w:rsidRPr="00E4608B">
        <w:rPr>
          <w:iCs/>
          <w:color w:val="000000"/>
          <w:vertAlign w:val="subscript"/>
        </w:rPr>
        <w:t>0</w:t>
      </w:r>
      <w:proofErr w:type="gramEnd"/>
      <w:r w:rsidR="00731D7B" w:rsidRPr="00E4608B">
        <w:rPr>
          <w:iCs/>
          <w:color w:val="000000"/>
        </w:rPr>
        <w:t>(</w:t>
      </w:r>
      <w:r w:rsidR="00731D7B" w:rsidRPr="00E4608B">
        <w:rPr>
          <w:i/>
          <w:iCs/>
          <w:color w:val="000000"/>
        </w:rPr>
        <w:t>t</w:t>
      </w:r>
      <w:r w:rsidR="00731D7B" w:rsidRPr="00E4608B">
        <w:rPr>
          <w:iCs/>
          <w:color w:val="000000"/>
        </w:rPr>
        <w:t xml:space="preserve">) represents the effect of time alone without the covariates. </w:t>
      </w:r>
      <w:r w:rsidR="00190E05" w:rsidRPr="00E4608B">
        <w:rPr>
          <w:iCs/>
          <w:color w:val="000000"/>
        </w:rPr>
        <w:t>Hazard ha</w:t>
      </w:r>
      <w:r w:rsidRPr="00E4608B">
        <w:rPr>
          <w:iCs/>
          <w:color w:val="000000"/>
        </w:rPr>
        <w:t>s</w:t>
      </w:r>
      <w:r w:rsidR="00190E05" w:rsidRPr="00E4608B">
        <w:rPr>
          <w:iCs/>
          <w:color w:val="000000"/>
        </w:rPr>
        <w:t xml:space="preserve"> already been explained</w:t>
      </w:r>
      <w:r w:rsidRPr="00E4608B">
        <w:rPr>
          <w:iCs/>
          <w:color w:val="000000"/>
        </w:rPr>
        <w:t xml:space="preserve">. </w:t>
      </w:r>
      <w:r w:rsidRPr="00E4608B">
        <w:t>The binary outcome is survive/dead. In other contexts, the binary outcome could be the end-point reached or not reached. The model can be adapted to include censored data.</w:t>
      </w:r>
    </w:p>
    <w:p w14:paraId="72DC38CB" w14:textId="7D09EC49" w:rsidR="006E7DDC" w:rsidRDefault="00190E05" w:rsidP="00190E05">
      <w:pPr>
        <w:tabs>
          <w:tab w:val="left" w:pos="720"/>
        </w:tabs>
        <w:ind w:right="-720"/>
      </w:pPr>
      <w:r>
        <w:rPr>
          <w:rFonts w:ascii="Book Antiqua" w:hAnsi="Book Antiqua" w:cs="Arial"/>
          <w:sz w:val="22"/>
          <w:szCs w:val="22"/>
        </w:rPr>
        <w:tab/>
      </w:r>
      <w:r>
        <w:t xml:space="preserve">In the Cox regression (18.a), let the covariates be prognostic factors that affect survival. If you suspect that survival in males would be different than in females, sex would be a valid covariate. This type of modeling could identify the factors that have significant influence and their contribution can be quantified. Cox survival model does not require any specific form of survival over time but it does require that the hazard ratio remains unaltered over the period of follow-up (called proportional hazards) and cumulative hazard is multiplicative (additive on log scale). Note that Cox model is for hazard of death (or failure) and not for </w:t>
      </w:r>
      <w:r w:rsidRPr="009341BA">
        <w:rPr>
          <w:i/>
        </w:rPr>
        <w:t>duration</w:t>
      </w:r>
      <w:r>
        <w:t xml:space="preserve"> of survival.</w:t>
      </w:r>
      <w:r w:rsidR="006E7DDC">
        <w:tab/>
      </w:r>
    </w:p>
    <w:p w14:paraId="057BAF32" w14:textId="77777777" w:rsidR="006E7DDC" w:rsidRDefault="006E7DDC" w:rsidP="00AA4B3C">
      <w:pPr>
        <w:ind w:right="-720"/>
        <w:jc w:val="both"/>
      </w:pPr>
    </w:p>
    <w:p w14:paraId="74FCD6EB" w14:textId="77777777" w:rsidR="006E7DDC" w:rsidRPr="00770491" w:rsidRDefault="006E7DDC" w:rsidP="00AA4B3C">
      <w:pPr>
        <w:ind w:right="-720"/>
        <w:jc w:val="both"/>
        <w:rPr>
          <w:b/>
        </w:rPr>
      </w:pPr>
      <w:r>
        <w:rPr>
          <w:b/>
        </w:rPr>
        <w:t>Proportional H</w:t>
      </w:r>
      <w:r w:rsidRPr="00770491">
        <w:rPr>
          <w:b/>
        </w:rPr>
        <w:t xml:space="preserve">azards </w:t>
      </w:r>
    </w:p>
    <w:p w14:paraId="22CDF9B2" w14:textId="77777777" w:rsidR="006E7DDC" w:rsidRPr="00E4608B" w:rsidRDefault="006E7DDC" w:rsidP="00AA4B3C">
      <w:pPr>
        <w:tabs>
          <w:tab w:val="left" w:pos="720"/>
        </w:tabs>
        <w:ind w:right="-720"/>
      </w:pPr>
      <w:r w:rsidRPr="00E4608B">
        <w:t xml:space="preserve">To understand proportional hazards, consider two groups defined by indicator variable </w:t>
      </w:r>
      <w:r w:rsidRPr="00E4608B">
        <w:rPr>
          <w:i/>
          <w:iCs/>
        </w:rPr>
        <w:t>x</w:t>
      </w:r>
      <w:r w:rsidRPr="00E4608B">
        <w:rPr>
          <w:vertAlign w:val="subscript"/>
        </w:rPr>
        <w:t>1</w:t>
      </w:r>
      <w:r w:rsidRPr="00E4608B">
        <w:t xml:space="preserve"> = 0 for control and </w:t>
      </w:r>
      <w:r w:rsidRPr="00E4608B">
        <w:rPr>
          <w:i/>
          <w:iCs/>
        </w:rPr>
        <w:t>x</w:t>
      </w:r>
      <w:r w:rsidRPr="00E4608B">
        <w:rPr>
          <w:vertAlign w:val="subscript"/>
        </w:rPr>
        <w:t>1</w:t>
      </w:r>
      <w:r w:rsidRPr="00E4608B">
        <w:t xml:space="preserve"> = 1 for the treatment group. For simplicity, suppose this is the only variable under consideration. Eq. (18.a) in this case gives </w:t>
      </w:r>
      <w:proofErr w:type="gramStart"/>
      <w:r w:rsidRPr="00E4608B">
        <w:rPr>
          <w:i/>
          <w:iCs/>
        </w:rPr>
        <w:t>h</w:t>
      </w:r>
      <w:r w:rsidRPr="00E4608B">
        <w:t>(</w:t>
      </w:r>
      <w:proofErr w:type="gramEnd"/>
      <w:r w:rsidRPr="00E4608B">
        <w:rPr>
          <w:i/>
          <w:iCs/>
        </w:rPr>
        <w:t>t</w:t>
      </w:r>
      <w:r w:rsidRPr="00E4608B">
        <w:t xml:space="preserve">) = </w:t>
      </w:r>
      <w:r w:rsidRPr="00E4608B">
        <w:rPr>
          <w:i/>
          <w:iCs/>
        </w:rPr>
        <w:t>h</w:t>
      </w:r>
      <w:r w:rsidRPr="00E4608B">
        <w:rPr>
          <w:vertAlign w:val="subscript"/>
        </w:rPr>
        <w:t>0</w:t>
      </w:r>
      <w:r w:rsidRPr="00E4608B">
        <w:t>(</w:t>
      </w:r>
      <w:r w:rsidRPr="00E4608B">
        <w:rPr>
          <w:i/>
          <w:iCs/>
        </w:rPr>
        <w:t>t</w:t>
      </w:r>
      <w:r w:rsidRPr="00E4608B">
        <w:t xml:space="preserve">) for </w:t>
      </w:r>
      <w:r w:rsidRPr="00E4608B">
        <w:rPr>
          <w:i/>
          <w:iCs/>
        </w:rPr>
        <w:t>x</w:t>
      </w:r>
      <w:r w:rsidRPr="00E4608B">
        <w:rPr>
          <w:vertAlign w:val="subscript"/>
        </w:rPr>
        <w:t>1</w:t>
      </w:r>
      <w:r w:rsidRPr="00E4608B">
        <w:t xml:space="preserve"> = 0 and </w:t>
      </w:r>
      <w:r w:rsidRPr="00E4608B">
        <w:rPr>
          <w:i/>
          <w:iCs/>
        </w:rPr>
        <w:t>h</w:t>
      </w:r>
      <w:r w:rsidRPr="00E4608B">
        <w:t>(</w:t>
      </w:r>
      <w:r w:rsidRPr="00E4608B">
        <w:rPr>
          <w:i/>
          <w:iCs/>
        </w:rPr>
        <w:t>t</w:t>
      </w:r>
      <w:r w:rsidRPr="00E4608B">
        <w:t xml:space="preserve">) = </w:t>
      </w:r>
      <w:r w:rsidRPr="00E4608B">
        <w:rPr>
          <w:i/>
          <w:iCs/>
        </w:rPr>
        <w:t>h</w:t>
      </w:r>
      <w:r w:rsidRPr="00E4608B">
        <w:rPr>
          <w:vertAlign w:val="subscript"/>
        </w:rPr>
        <w:t>0</w:t>
      </w:r>
      <w:r w:rsidRPr="00E4608B">
        <w:t>(</w:t>
      </w:r>
      <w:r w:rsidRPr="00E4608B">
        <w:rPr>
          <w:i/>
          <w:iCs/>
        </w:rPr>
        <w:t>t</w:t>
      </w:r>
      <w:r w:rsidRPr="00E4608B">
        <w:t>)</w:t>
      </w:r>
      <w:r w:rsidRPr="00E4608B">
        <w:rPr>
          <w:i/>
        </w:rPr>
        <w:t xml:space="preserve"> </w:t>
      </w:r>
      <w:proofErr w:type="spellStart"/>
      <w:r w:rsidRPr="00E4608B">
        <w:rPr>
          <w:i/>
        </w:rPr>
        <w:t>e</w:t>
      </w:r>
      <w:r w:rsidRPr="00E4608B">
        <w:rPr>
          <w:i/>
          <w:vertAlign w:val="superscript"/>
        </w:rPr>
        <w:t>b</w:t>
      </w:r>
      <w:proofErr w:type="spellEnd"/>
      <w:r w:rsidRPr="00E4608B">
        <w:t xml:space="preserve"> for </w:t>
      </w:r>
      <w:r w:rsidRPr="00E4608B">
        <w:rPr>
          <w:i/>
          <w:iCs/>
        </w:rPr>
        <w:t>x</w:t>
      </w:r>
      <w:r w:rsidRPr="00E4608B">
        <w:rPr>
          <w:vertAlign w:val="subscript"/>
        </w:rPr>
        <w:t>1</w:t>
      </w:r>
      <w:r w:rsidRPr="00E4608B">
        <w:t xml:space="preserve"> = 1. Thus the ratio of these two hazards is </w:t>
      </w:r>
      <w:proofErr w:type="spellStart"/>
      <w:r w:rsidRPr="00E4608B">
        <w:rPr>
          <w:i/>
        </w:rPr>
        <w:t>e</w:t>
      </w:r>
      <w:r w:rsidRPr="00E4608B">
        <w:rPr>
          <w:i/>
          <w:vertAlign w:val="superscript"/>
        </w:rPr>
        <w:t>b</w:t>
      </w:r>
      <w:proofErr w:type="spellEnd"/>
      <w:r w:rsidRPr="00E4608B">
        <w:t xml:space="preserve"> for all </w:t>
      </w:r>
      <w:r w:rsidRPr="00E4608B">
        <w:rPr>
          <w:i/>
        </w:rPr>
        <w:t>t</w:t>
      </w:r>
      <w:r w:rsidRPr="00E4608B">
        <w:t xml:space="preserve">. It does not depend on time. The form of </w:t>
      </w:r>
      <w:proofErr w:type="gramStart"/>
      <w:r w:rsidRPr="00E4608B">
        <w:rPr>
          <w:i/>
          <w:iCs/>
        </w:rPr>
        <w:t>h</w:t>
      </w:r>
      <w:r w:rsidRPr="00E4608B">
        <w:rPr>
          <w:vertAlign w:val="subscript"/>
        </w:rPr>
        <w:t>0</w:t>
      </w:r>
      <w:r w:rsidRPr="00E4608B">
        <w:t>(</w:t>
      </w:r>
      <w:proofErr w:type="gramEnd"/>
      <w:r w:rsidRPr="00E4608B">
        <w:rPr>
          <w:i/>
          <w:iCs/>
        </w:rPr>
        <w:t>t</w:t>
      </w:r>
      <w:r w:rsidRPr="00E4608B">
        <w:t xml:space="preserve">) does not matter for this ratio.  This is what proportional hazards imply. It is because of this property, when fulfilled, that the method is independent of the pattern of survival curve. In logarithmic terms, hazard ratio function is linear in </w:t>
      </w:r>
      <w:proofErr w:type="spellStart"/>
      <w:r w:rsidRPr="00E4608B">
        <w:rPr>
          <w:i/>
        </w:rPr>
        <w:t>x</w:t>
      </w:r>
      <w:r w:rsidRPr="00E4608B">
        <w:t>s</w:t>
      </w:r>
      <w:proofErr w:type="spellEnd"/>
      <w:r w:rsidRPr="00E4608B">
        <w:t xml:space="preserve"> and hazard functions are parallel </w:t>
      </w:r>
      <w:r w:rsidRPr="00E4608B">
        <w:rPr>
          <w:color w:val="C00000"/>
        </w:rPr>
        <w:t>(check)</w:t>
      </w:r>
      <w:r w:rsidRPr="00E4608B">
        <w:t>. Proportional hazards in the two groups would mean the plot of logarithm of hazards vs. survival time would be parallel (</w:t>
      </w:r>
      <w:proofErr w:type="gramStart"/>
      <w:r w:rsidRPr="00E4608B">
        <w:t>Figure   )</w:t>
      </w:r>
      <w:proofErr w:type="gramEnd"/>
      <w:r w:rsidRPr="00E4608B">
        <w:t>.</w:t>
      </w:r>
    </w:p>
    <w:p w14:paraId="52F0F31C" w14:textId="77777777" w:rsidR="006E7DDC" w:rsidRDefault="006E7DDC" w:rsidP="00AA4B3C">
      <w:pPr>
        <w:ind w:right="-720"/>
      </w:pPr>
    </w:p>
    <w:tbl>
      <w:tblPr>
        <w:tblW w:w="10160" w:type="dxa"/>
        <w:tblInd w:w="108" w:type="dxa"/>
        <w:tblLook w:val="04A0" w:firstRow="1" w:lastRow="0" w:firstColumn="1" w:lastColumn="0" w:noHBand="0" w:noVBand="1"/>
      </w:tblPr>
      <w:tblGrid>
        <w:gridCol w:w="1176"/>
        <w:gridCol w:w="976"/>
        <w:gridCol w:w="976"/>
        <w:gridCol w:w="976"/>
        <w:gridCol w:w="976"/>
        <w:gridCol w:w="1176"/>
        <w:gridCol w:w="976"/>
        <w:gridCol w:w="976"/>
        <w:gridCol w:w="976"/>
        <w:gridCol w:w="976"/>
      </w:tblGrid>
      <w:tr w:rsidR="006E7DDC" w:rsidRPr="00A03A67" w14:paraId="0A911786" w14:textId="77777777" w:rsidTr="00B70F12">
        <w:trPr>
          <w:trHeight w:val="255"/>
        </w:trPr>
        <w:tc>
          <w:tcPr>
            <w:tcW w:w="1176" w:type="dxa"/>
            <w:tcBorders>
              <w:top w:val="nil"/>
              <w:left w:val="nil"/>
              <w:bottom w:val="nil"/>
              <w:right w:val="nil"/>
            </w:tcBorders>
            <w:shd w:val="clear" w:color="auto" w:fill="auto"/>
            <w:noWrap/>
            <w:vAlign w:val="bottom"/>
            <w:hideMark/>
          </w:tcPr>
          <w:p w14:paraId="00AB6406" w14:textId="77777777" w:rsidR="006E7DDC" w:rsidRPr="00A03A67" w:rsidRDefault="006E7DDC" w:rsidP="00AA4B3C">
            <w:pPr>
              <w:ind w:right="-720"/>
              <w:rPr>
                <w:rFonts w:ascii="Arial" w:hAnsi="Arial" w:cs="Arial"/>
                <w:sz w:val="20"/>
                <w:szCs w:val="20"/>
              </w:rPr>
            </w:pPr>
            <w:r>
              <w:rPr>
                <w:rFonts w:ascii="Arial" w:hAnsi="Arial" w:cs="Arial"/>
                <w:noProof/>
                <w:sz w:val="20"/>
                <w:szCs w:val="20"/>
              </w:rPr>
              <w:lastRenderedPageBreak/>
              <w:drawing>
                <wp:anchor distT="0" distB="0" distL="114300" distR="114300" simplePos="0" relativeHeight="251663360" behindDoc="0" locked="0" layoutInCell="1" allowOverlap="1" wp14:anchorId="5D991F8F" wp14:editId="565C93A1">
                  <wp:simplePos x="0" y="0"/>
                  <wp:positionH relativeFrom="column">
                    <wp:posOffset>-76200</wp:posOffset>
                  </wp:positionH>
                  <wp:positionV relativeFrom="paragraph">
                    <wp:posOffset>-635</wp:posOffset>
                  </wp:positionV>
                  <wp:extent cx="3028950" cy="2114550"/>
                  <wp:effectExtent l="0" t="0" r="0" b="0"/>
                  <wp:wrapNone/>
                  <wp:docPr id="5"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6E7DDC" w:rsidRPr="00A03A67" w14:paraId="1F4ED66A" w14:textId="77777777" w:rsidTr="00B70F12">
              <w:trPr>
                <w:trHeight w:val="255"/>
                <w:tblCellSpacing w:w="0" w:type="dxa"/>
              </w:trPr>
              <w:tc>
                <w:tcPr>
                  <w:tcW w:w="960" w:type="dxa"/>
                  <w:tcBorders>
                    <w:top w:val="nil"/>
                    <w:left w:val="nil"/>
                    <w:bottom w:val="nil"/>
                    <w:right w:val="nil"/>
                  </w:tcBorders>
                  <w:shd w:val="clear" w:color="auto" w:fill="auto"/>
                  <w:noWrap/>
                  <w:vAlign w:val="bottom"/>
                  <w:hideMark/>
                </w:tcPr>
                <w:p w14:paraId="4A28EE68" w14:textId="77777777" w:rsidR="006E7DDC" w:rsidRPr="00A03A67" w:rsidRDefault="006E7DDC" w:rsidP="00AA4B3C">
                  <w:pPr>
                    <w:ind w:right="-720"/>
                    <w:rPr>
                      <w:rFonts w:ascii="Arial" w:hAnsi="Arial" w:cs="Arial"/>
                      <w:sz w:val="20"/>
                      <w:szCs w:val="20"/>
                    </w:rPr>
                  </w:pPr>
                </w:p>
              </w:tc>
            </w:tr>
          </w:tbl>
          <w:p w14:paraId="2E845C27"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26D00E20"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16BA9FD1"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1091E5A0"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4822F6A7" w14:textId="77777777" w:rsidR="006E7DDC" w:rsidRPr="00A03A67" w:rsidRDefault="006E7DDC" w:rsidP="00AA4B3C">
            <w:pPr>
              <w:ind w:right="-720"/>
              <w:rPr>
                <w:rFonts w:ascii="Arial" w:hAnsi="Arial" w:cs="Arial"/>
                <w:sz w:val="20"/>
                <w:szCs w:val="20"/>
              </w:rPr>
            </w:pPr>
            <w:r>
              <w:rPr>
                <w:rFonts w:ascii="Arial" w:hAnsi="Arial" w:cs="Arial"/>
                <w:noProof/>
                <w:sz w:val="20"/>
                <w:szCs w:val="20"/>
              </w:rPr>
              <w:drawing>
                <wp:anchor distT="0" distB="0" distL="114300" distR="114300" simplePos="0" relativeHeight="251664384" behindDoc="0" locked="0" layoutInCell="1" allowOverlap="1" wp14:anchorId="389869CC" wp14:editId="4A1F7693">
                  <wp:simplePos x="0" y="0"/>
                  <wp:positionH relativeFrom="column">
                    <wp:posOffset>268605</wp:posOffset>
                  </wp:positionH>
                  <wp:positionV relativeFrom="paragraph">
                    <wp:posOffset>53340</wp:posOffset>
                  </wp:positionV>
                  <wp:extent cx="3048000" cy="2095500"/>
                  <wp:effectExtent l="0" t="0" r="0" b="0"/>
                  <wp:wrapNone/>
                  <wp:docPr id="6"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tc>
        <w:tc>
          <w:tcPr>
            <w:tcW w:w="1176" w:type="dxa"/>
            <w:tcBorders>
              <w:top w:val="nil"/>
              <w:left w:val="nil"/>
              <w:bottom w:val="nil"/>
              <w:right w:val="nil"/>
            </w:tcBorders>
            <w:shd w:val="clear" w:color="auto" w:fill="auto"/>
            <w:noWrap/>
            <w:vAlign w:val="bottom"/>
            <w:hideMark/>
          </w:tcPr>
          <w:p w14:paraId="005D421C" w14:textId="77777777" w:rsidR="006E7DDC" w:rsidRPr="00A03A67" w:rsidRDefault="006E7DDC" w:rsidP="00AA4B3C">
            <w:pPr>
              <w:ind w:right="-720"/>
              <w:rPr>
                <w:rFonts w:ascii="Arial" w:hAnsi="Arial" w:cs="Arial"/>
                <w:sz w:val="20"/>
                <w:szCs w:val="20"/>
              </w:rPr>
            </w:pPr>
          </w:p>
          <w:tbl>
            <w:tblPr>
              <w:tblW w:w="0" w:type="auto"/>
              <w:tblCellSpacing w:w="0" w:type="dxa"/>
              <w:tblCellMar>
                <w:left w:w="0" w:type="dxa"/>
                <w:right w:w="0" w:type="dxa"/>
              </w:tblCellMar>
              <w:tblLook w:val="04A0" w:firstRow="1" w:lastRow="0" w:firstColumn="1" w:lastColumn="0" w:noHBand="0" w:noVBand="1"/>
            </w:tblPr>
            <w:tblGrid>
              <w:gridCol w:w="960"/>
            </w:tblGrid>
            <w:tr w:rsidR="006E7DDC" w:rsidRPr="00A03A67" w14:paraId="506275B2" w14:textId="77777777" w:rsidTr="00B70F12">
              <w:trPr>
                <w:trHeight w:val="255"/>
                <w:tblCellSpacing w:w="0" w:type="dxa"/>
              </w:trPr>
              <w:tc>
                <w:tcPr>
                  <w:tcW w:w="960" w:type="dxa"/>
                  <w:tcBorders>
                    <w:top w:val="nil"/>
                    <w:left w:val="nil"/>
                    <w:bottom w:val="nil"/>
                    <w:right w:val="nil"/>
                  </w:tcBorders>
                  <w:shd w:val="clear" w:color="auto" w:fill="auto"/>
                  <w:noWrap/>
                  <w:vAlign w:val="bottom"/>
                  <w:hideMark/>
                </w:tcPr>
                <w:p w14:paraId="14BDCCB2" w14:textId="77777777" w:rsidR="006E7DDC" w:rsidRPr="00A03A67" w:rsidRDefault="006E7DDC" w:rsidP="00AA4B3C">
                  <w:pPr>
                    <w:ind w:right="-720"/>
                    <w:rPr>
                      <w:rFonts w:ascii="Arial" w:hAnsi="Arial" w:cs="Arial"/>
                      <w:sz w:val="20"/>
                      <w:szCs w:val="20"/>
                    </w:rPr>
                  </w:pPr>
                </w:p>
              </w:tc>
            </w:tr>
          </w:tbl>
          <w:p w14:paraId="6C4A1C3D"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722A35C3"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585D5F5E"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112077C9"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25A01D4F" w14:textId="77777777" w:rsidR="006E7DDC" w:rsidRPr="00A03A67" w:rsidRDefault="006E7DDC" w:rsidP="00AA4B3C">
            <w:pPr>
              <w:ind w:right="-720"/>
              <w:rPr>
                <w:rFonts w:ascii="Arial" w:hAnsi="Arial" w:cs="Arial"/>
                <w:sz w:val="20"/>
                <w:szCs w:val="20"/>
              </w:rPr>
            </w:pPr>
          </w:p>
        </w:tc>
      </w:tr>
      <w:tr w:rsidR="006E7DDC" w:rsidRPr="00A03A67" w14:paraId="1F85F20E" w14:textId="77777777" w:rsidTr="00B70F12">
        <w:trPr>
          <w:trHeight w:val="255"/>
        </w:trPr>
        <w:tc>
          <w:tcPr>
            <w:tcW w:w="1176" w:type="dxa"/>
            <w:tcBorders>
              <w:top w:val="nil"/>
              <w:left w:val="nil"/>
              <w:bottom w:val="nil"/>
              <w:right w:val="nil"/>
            </w:tcBorders>
            <w:shd w:val="clear" w:color="auto" w:fill="auto"/>
            <w:noWrap/>
            <w:vAlign w:val="bottom"/>
            <w:hideMark/>
          </w:tcPr>
          <w:p w14:paraId="7B402F84"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686BD1DD"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0B5EEF51"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540FBCB5"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7AC75420" w14:textId="77777777" w:rsidR="006E7DDC" w:rsidRPr="00A03A67" w:rsidRDefault="006E7DDC" w:rsidP="00AA4B3C">
            <w:pPr>
              <w:ind w:right="-720"/>
              <w:rPr>
                <w:rFonts w:ascii="Arial" w:hAnsi="Arial" w:cs="Arial"/>
                <w:sz w:val="20"/>
                <w:szCs w:val="20"/>
              </w:rPr>
            </w:pPr>
          </w:p>
        </w:tc>
        <w:tc>
          <w:tcPr>
            <w:tcW w:w="1176" w:type="dxa"/>
            <w:tcBorders>
              <w:top w:val="nil"/>
              <w:left w:val="nil"/>
              <w:bottom w:val="nil"/>
              <w:right w:val="nil"/>
            </w:tcBorders>
            <w:shd w:val="clear" w:color="auto" w:fill="auto"/>
            <w:noWrap/>
            <w:vAlign w:val="bottom"/>
            <w:hideMark/>
          </w:tcPr>
          <w:p w14:paraId="4BF350CD"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506FA801"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668D1EE7"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4EE77D60"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21C1B693" w14:textId="77777777" w:rsidR="006E7DDC" w:rsidRPr="00A03A67" w:rsidRDefault="006E7DDC" w:rsidP="00AA4B3C">
            <w:pPr>
              <w:ind w:right="-720"/>
              <w:rPr>
                <w:rFonts w:ascii="Arial" w:hAnsi="Arial" w:cs="Arial"/>
                <w:sz w:val="20"/>
                <w:szCs w:val="20"/>
              </w:rPr>
            </w:pPr>
          </w:p>
        </w:tc>
      </w:tr>
      <w:tr w:rsidR="006E7DDC" w:rsidRPr="00A03A67" w14:paraId="0CFB6F46" w14:textId="77777777" w:rsidTr="00B70F12">
        <w:trPr>
          <w:trHeight w:val="255"/>
        </w:trPr>
        <w:tc>
          <w:tcPr>
            <w:tcW w:w="1176" w:type="dxa"/>
            <w:tcBorders>
              <w:top w:val="nil"/>
              <w:left w:val="nil"/>
              <w:bottom w:val="nil"/>
              <w:right w:val="nil"/>
            </w:tcBorders>
            <w:shd w:val="clear" w:color="auto" w:fill="auto"/>
            <w:noWrap/>
            <w:vAlign w:val="bottom"/>
            <w:hideMark/>
          </w:tcPr>
          <w:p w14:paraId="70A3D5F4"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5853EDCC"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26D68433"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0E9A713F"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55F733C2" w14:textId="77777777" w:rsidR="006E7DDC" w:rsidRPr="00A03A67" w:rsidRDefault="006E7DDC" w:rsidP="00AA4B3C">
            <w:pPr>
              <w:ind w:right="-720"/>
              <w:rPr>
                <w:rFonts w:ascii="Arial" w:hAnsi="Arial" w:cs="Arial"/>
                <w:sz w:val="20"/>
                <w:szCs w:val="20"/>
              </w:rPr>
            </w:pPr>
          </w:p>
        </w:tc>
        <w:tc>
          <w:tcPr>
            <w:tcW w:w="1176" w:type="dxa"/>
            <w:tcBorders>
              <w:top w:val="nil"/>
              <w:left w:val="nil"/>
              <w:bottom w:val="nil"/>
              <w:right w:val="nil"/>
            </w:tcBorders>
            <w:shd w:val="clear" w:color="auto" w:fill="auto"/>
            <w:noWrap/>
            <w:vAlign w:val="bottom"/>
            <w:hideMark/>
          </w:tcPr>
          <w:p w14:paraId="07898A53"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428C3465"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17C2E0E8"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2A3AF26F"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3273511C" w14:textId="77777777" w:rsidR="006E7DDC" w:rsidRPr="00A03A67" w:rsidRDefault="006E7DDC" w:rsidP="00AA4B3C">
            <w:pPr>
              <w:ind w:right="-720"/>
              <w:rPr>
                <w:rFonts w:ascii="Arial" w:hAnsi="Arial" w:cs="Arial"/>
                <w:sz w:val="20"/>
                <w:szCs w:val="20"/>
              </w:rPr>
            </w:pPr>
          </w:p>
        </w:tc>
      </w:tr>
      <w:tr w:rsidR="006E7DDC" w:rsidRPr="00A03A67" w14:paraId="7FD08E89" w14:textId="77777777" w:rsidTr="00B70F12">
        <w:trPr>
          <w:trHeight w:val="255"/>
        </w:trPr>
        <w:tc>
          <w:tcPr>
            <w:tcW w:w="1176" w:type="dxa"/>
            <w:tcBorders>
              <w:top w:val="nil"/>
              <w:left w:val="nil"/>
              <w:bottom w:val="nil"/>
              <w:right w:val="nil"/>
            </w:tcBorders>
            <w:shd w:val="clear" w:color="auto" w:fill="auto"/>
            <w:noWrap/>
            <w:vAlign w:val="bottom"/>
            <w:hideMark/>
          </w:tcPr>
          <w:p w14:paraId="24E88A93"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08190172"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4259364D"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7384F12D"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4E2536F2" w14:textId="77777777" w:rsidR="006E7DDC" w:rsidRPr="00A03A67" w:rsidRDefault="006E7DDC" w:rsidP="00AA4B3C">
            <w:pPr>
              <w:ind w:right="-720"/>
              <w:rPr>
                <w:rFonts w:ascii="Arial" w:hAnsi="Arial" w:cs="Arial"/>
                <w:sz w:val="20"/>
                <w:szCs w:val="20"/>
              </w:rPr>
            </w:pPr>
          </w:p>
        </w:tc>
        <w:tc>
          <w:tcPr>
            <w:tcW w:w="1176" w:type="dxa"/>
            <w:tcBorders>
              <w:top w:val="nil"/>
              <w:left w:val="nil"/>
              <w:bottom w:val="nil"/>
              <w:right w:val="nil"/>
            </w:tcBorders>
            <w:shd w:val="clear" w:color="auto" w:fill="auto"/>
            <w:noWrap/>
            <w:vAlign w:val="bottom"/>
            <w:hideMark/>
          </w:tcPr>
          <w:p w14:paraId="04B9B577"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637337A6"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562AB598"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3F855D56"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7A5A9344" w14:textId="77777777" w:rsidR="006E7DDC" w:rsidRPr="00A03A67" w:rsidRDefault="006E7DDC" w:rsidP="00AA4B3C">
            <w:pPr>
              <w:ind w:right="-720"/>
              <w:rPr>
                <w:rFonts w:ascii="Arial" w:hAnsi="Arial" w:cs="Arial"/>
                <w:sz w:val="20"/>
                <w:szCs w:val="20"/>
              </w:rPr>
            </w:pPr>
          </w:p>
        </w:tc>
      </w:tr>
      <w:tr w:rsidR="006E7DDC" w:rsidRPr="00A03A67" w14:paraId="1DBAA99B" w14:textId="77777777" w:rsidTr="00B70F12">
        <w:trPr>
          <w:trHeight w:val="255"/>
        </w:trPr>
        <w:tc>
          <w:tcPr>
            <w:tcW w:w="1176" w:type="dxa"/>
            <w:tcBorders>
              <w:top w:val="nil"/>
              <w:left w:val="nil"/>
              <w:bottom w:val="nil"/>
              <w:right w:val="nil"/>
            </w:tcBorders>
            <w:shd w:val="clear" w:color="auto" w:fill="auto"/>
            <w:noWrap/>
            <w:vAlign w:val="bottom"/>
            <w:hideMark/>
          </w:tcPr>
          <w:p w14:paraId="7EF92144"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367E2584"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2071FD84"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50176C25"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2D9CB450" w14:textId="77777777" w:rsidR="006E7DDC" w:rsidRPr="00A03A67" w:rsidRDefault="006E7DDC" w:rsidP="00AA4B3C">
            <w:pPr>
              <w:ind w:right="-720"/>
              <w:rPr>
                <w:rFonts w:ascii="Arial" w:hAnsi="Arial" w:cs="Arial"/>
                <w:sz w:val="20"/>
                <w:szCs w:val="20"/>
              </w:rPr>
            </w:pPr>
          </w:p>
        </w:tc>
        <w:tc>
          <w:tcPr>
            <w:tcW w:w="1176" w:type="dxa"/>
            <w:tcBorders>
              <w:top w:val="nil"/>
              <w:left w:val="nil"/>
              <w:bottom w:val="nil"/>
              <w:right w:val="nil"/>
            </w:tcBorders>
            <w:shd w:val="clear" w:color="auto" w:fill="auto"/>
            <w:noWrap/>
            <w:vAlign w:val="bottom"/>
            <w:hideMark/>
          </w:tcPr>
          <w:p w14:paraId="6FBE37FA"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6F7666A2"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2C4C3596"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02B08227"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487DD0A8" w14:textId="77777777" w:rsidR="006E7DDC" w:rsidRPr="00A03A67" w:rsidRDefault="006E7DDC" w:rsidP="00AA4B3C">
            <w:pPr>
              <w:ind w:right="-720"/>
              <w:rPr>
                <w:rFonts w:ascii="Arial" w:hAnsi="Arial" w:cs="Arial"/>
                <w:sz w:val="20"/>
                <w:szCs w:val="20"/>
              </w:rPr>
            </w:pPr>
          </w:p>
        </w:tc>
      </w:tr>
      <w:tr w:rsidR="006E7DDC" w:rsidRPr="00A03A67" w14:paraId="6F38E4C9" w14:textId="77777777" w:rsidTr="00B70F12">
        <w:trPr>
          <w:trHeight w:val="255"/>
        </w:trPr>
        <w:tc>
          <w:tcPr>
            <w:tcW w:w="1176" w:type="dxa"/>
            <w:tcBorders>
              <w:top w:val="nil"/>
              <w:left w:val="nil"/>
              <w:bottom w:val="nil"/>
              <w:right w:val="nil"/>
            </w:tcBorders>
            <w:shd w:val="clear" w:color="auto" w:fill="auto"/>
            <w:noWrap/>
            <w:vAlign w:val="bottom"/>
            <w:hideMark/>
          </w:tcPr>
          <w:p w14:paraId="1D09715C"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0E4E85EE"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7574B514"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1953B442"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3B370259" w14:textId="77777777" w:rsidR="006E7DDC" w:rsidRPr="00A03A67" w:rsidRDefault="006E7DDC" w:rsidP="00AA4B3C">
            <w:pPr>
              <w:ind w:right="-720"/>
              <w:rPr>
                <w:rFonts w:ascii="Arial" w:hAnsi="Arial" w:cs="Arial"/>
                <w:sz w:val="20"/>
                <w:szCs w:val="20"/>
              </w:rPr>
            </w:pPr>
          </w:p>
        </w:tc>
        <w:tc>
          <w:tcPr>
            <w:tcW w:w="1176" w:type="dxa"/>
            <w:tcBorders>
              <w:top w:val="nil"/>
              <w:left w:val="nil"/>
              <w:bottom w:val="nil"/>
              <w:right w:val="nil"/>
            </w:tcBorders>
            <w:shd w:val="clear" w:color="auto" w:fill="auto"/>
            <w:noWrap/>
            <w:vAlign w:val="bottom"/>
            <w:hideMark/>
          </w:tcPr>
          <w:p w14:paraId="4861D6EA"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6C7EACE4"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52BB9785"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01B0AA5A"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7183FAC9" w14:textId="77777777" w:rsidR="006E7DDC" w:rsidRPr="00A03A67" w:rsidRDefault="006E7DDC" w:rsidP="00AA4B3C">
            <w:pPr>
              <w:ind w:right="-720"/>
              <w:rPr>
                <w:rFonts w:ascii="Arial" w:hAnsi="Arial" w:cs="Arial"/>
                <w:sz w:val="20"/>
                <w:szCs w:val="20"/>
              </w:rPr>
            </w:pPr>
          </w:p>
        </w:tc>
      </w:tr>
      <w:tr w:rsidR="006E7DDC" w:rsidRPr="00A03A67" w14:paraId="344B9016" w14:textId="77777777" w:rsidTr="00B70F12">
        <w:trPr>
          <w:trHeight w:val="255"/>
        </w:trPr>
        <w:tc>
          <w:tcPr>
            <w:tcW w:w="1176" w:type="dxa"/>
            <w:tcBorders>
              <w:top w:val="nil"/>
              <w:left w:val="nil"/>
              <w:bottom w:val="nil"/>
              <w:right w:val="nil"/>
            </w:tcBorders>
            <w:shd w:val="clear" w:color="auto" w:fill="auto"/>
            <w:noWrap/>
            <w:vAlign w:val="bottom"/>
            <w:hideMark/>
          </w:tcPr>
          <w:p w14:paraId="74ADD5D9"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4BF1D626"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17B15470"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0900FDFE"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061CC0AF" w14:textId="77777777" w:rsidR="006E7DDC" w:rsidRPr="00A03A67" w:rsidRDefault="006E7DDC" w:rsidP="00AA4B3C">
            <w:pPr>
              <w:ind w:right="-720"/>
              <w:rPr>
                <w:rFonts w:ascii="Arial" w:hAnsi="Arial" w:cs="Arial"/>
                <w:sz w:val="20"/>
                <w:szCs w:val="20"/>
              </w:rPr>
            </w:pPr>
          </w:p>
        </w:tc>
        <w:tc>
          <w:tcPr>
            <w:tcW w:w="1176" w:type="dxa"/>
            <w:tcBorders>
              <w:top w:val="nil"/>
              <w:left w:val="nil"/>
              <w:bottom w:val="nil"/>
              <w:right w:val="nil"/>
            </w:tcBorders>
            <w:shd w:val="clear" w:color="auto" w:fill="auto"/>
            <w:noWrap/>
            <w:vAlign w:val="bottom"/>
            <w:hideMark/>
          </w:tcPr>
          <w:p w14:paraId="1818B106"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064BF68B"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2B3DF14A"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025E5F9B"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798667DD" w14:textId="77777777" w:rsidR="006E7DDC" w:rsidRPr="00A03A67" w:rsidRDefault="006E7DDC" w:rsidP="00AA4B3C">
            <w:pPr>
              <w:ind w:right="-720"/>
              <w:rPr>
                <w:rFonts w:ascii="Arial" w:hAnsi="Arial" w:cs="Arial"/>
                <w:sz w:val="20"/>
                <w:szCs w:val="20"/>
              </w:rPr>
            </w:pPr>
          </w:p>
        </w:tc>
      </w:tr>
      <w:tr w:rsidR="006E7DDC" w:rsidRPr="00A03A67" w14:paraId="3CD35A88" w14:textId="77777777" w:rsidTr="00B70F12">
        <w:trPr>
          <w:trHeight w:val="255"/>
        </w:trPr>
        <w:tc>
          <w:tcPr>
            <w:tcW w:w="1176" w:type="dxa"/>
            <w:tcBorders>
              <w:top w:val="nil"/>
              <w:left w:val="nil"/>
              <w:bottom w:val="nil"/>
              <w:right w:val="nil"/>
            </w:tcBorders>
            <w:shd w:val="clear" w:color="auto" w:fill="auto"/>
            <w:noWrap/>
            <w:vAlign w:val="bottom"/>
            <w:hideMark/>
          </w:tcPr>
          <w:p w14:paraId="51E35DB4"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1A8EA7B2"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6DC42151"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183F0F79"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46414FED" w14:textId="77777777" w:rsidR="006E7DDC" w:rsidRPr="00A03A67" w:rsidRDefault="006E7DDC" w:rsidP="00AA4B3C">
            <w:pPr>
              <w:ind w:right="-720"/>
              <w:rPr>
                <w:rFonts w:ascii="Arial" w:hAnsi="Arial" w:cs="Arial"/>
                <w:sz w:val="20"/>
                <w:szCs w:val="20"/>
              </w:rPr>
            </w:pPr>
          </w:p>
        </w:tc>
        <w:tc>
          <w:tcPr>
            <w:tcW w:w="1176" w:type="dxa"/>
            <w:tcBorders>
              <w:top w:val="nil"/>
              <w:left w:val="nil"/>
              <w:bottom w:val="nil"/>
              <w:right w:val="nil"/>
            </w:tcBorders>
            <w:shd w:val="clear" w:color="auto" w:fill="auto"/>
            <w:noWrap/>
            <w:vAlign w:val="bottom"/>
            <w:hideMark/>
          </w:tcPr>
          <w:p w14:paraId="52A40F10"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7AE2BC17"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6756B20B"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03F93B39"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0B61AA6A" w14:textId="77777777" w:rsidR="006E7DDC" w:rsidRPr="00A03A67" w:rsidRDefault="006E7DDC" w:rsidP="00AA4B3C">
            <w:pPr>
              <w:ind w:right="-720"/>
              <w:rPr>
                <w:rFonts w:ascii="Arial" w:hAnsi="Arial" w:cs="Arial"/>
                <w:sz w:val="20"/>
                <w:szCs w:val="20"/>
              </w:rPr>
            </w:pPr>
          </w:p>
        </w:tc>
      </w:tr>
      <w:tr w:rsidR="006E7DDC" w:rsidRPr="00A03A67" w14:paraId="2EB3CB90" w14:textId="77777777" w:rsidTr="00B70F12">
        <w:trPr>
          <w:trHeight w:val="255"/>
        </w:trPr>
        <w:tc>
          <w:tcPr>
            <w:tcW w:w="1176" w:type="dxa"/>
            <w:tcBorders>
              <w:top w:val="nil"/>
              <w:left w:val="nil"/>
              <w:bottom w:val="nil"/>
              <w:right w:val="nil"/>
            </w:tcBorders>
            <w:shd w:val="clear" w:color="auto" w:fill="auto"/>
            <w:noWrap/>
            <w:vAlign w:val="bottom"/>
            <w:hideMark/>
          </w:tcPr>
          <w:p w14:paraId="1344EBD3"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5617BE04"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67E17A6A"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502221FA"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487E5C1F" w14:textId="77777777" w:rsidR="006E7DDC" w:rsidRPr="00A03A67" w:rsidRDefault="006E7DDC" w:rsidP="00AA4B3C">
            <w:pPr>
              <w:ind w:right="-720"/>
              <w:rPr>
                <w:rFonts w:ascii="Arial" w:hAnsi="Arial" w:cs="Arial"/>
                <w:sz w:val="20"/>
                <w:szCs w:val="20"/>
              </w:rPr>
            </w:pPr>
          </w:p>
        </w:tc>
        <w:tc>
          <w:tcPr>
            <w:tcW w:w="1176" w:type="dxa"/>
            <w:tcBorders>
              <w:top w:val="nil"/>
              <w:left w:val="nil"/>
              <w:bottom w:val="nil"/>
              <w:right w:val="nil"/>
            </w:tcBorders>
            <w:shd w:val="clear" w:color="auto" w:fill="auto"/>
            <w:noWrap/>
            <w:vAlign w:val="bottom"/>
            <w:hideMark/>
          </w:tcPr>
          <w:p w14:paraId="32A0E51C"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61822076"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58243F09"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019312E4"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02486769" w14:textId="77777777" w:rsidR="006E7DDC" w:rsidRPr="00A03A67" w:rsidRDefault="006E7DDC" w:rsidP="00AA4B3C">
            <w:pPr>
              <w:ind w:right="-720"/>
              <w:rPr>
                <w:rFonts w:ascii="Arial" w:hAnsi="Arial" w:cs="Arial"/>
                <w:sz w:val="20"/>
                <w:szCs w:val="20"/>
              </w:rPr>
            </w:pPr>
          </w:p>
        </w:tc>
      </w:tr>
      <w:tr w:rsidR="006E7DDC" w:rsidRPr="00A03A67" w14:paraId="2265F29F" w14:textId="77777777" w:rsidTr="00B70F12">
        <w:trPr>
          <w:trHeight w:val="255"/>
        </w:trPr>
        <w:tc>
          <w:tcPr>
            <w:tcW w:w="1176" w:type="dxa"/>
            <w:tcBorders>
              <w:top w:val="nil"/>
              <w:left w:val="nil"/>
              <w:bottom w:val="nil"/>
              <w:right w:val="nil"/>
            </w:tcBorders>
            <w:shd w:val="clear" w:color="auto" w:fill="auto"/>
            <w:noWrap/>
            <w:vAlign w:val="bottom"/>
            <w:hideMark/>
          </w:tcPr>
          <w:p w14:paraId="42951CED"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6D8397D5"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6C64C5E8"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7109351D"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09477FAB" w14:textId="77777777" w:rsidR="006E7DDC" w:rsidRPr="00A03A67" w:rsidRDefault="006E7DDC" w:rsidP="00AA4B3C">
            <w:pPr>
              <w:ind w:right="-720"/>
              <w:rPr>
                <w:rFonts w:ascii="Arial" w:hAnsi="Arial" w:cs="Arial"/>
                <w:sz w:val="20"/>
                <w:szCs w:val="20"/>
              </w:rPr>
            </w:pPr>
          </w:p>
        </w:tc>
        <w:tc>
          <w:tcPr>
            <w:tcW w:w="1176" w:type="dxa"/>
            <w:tcBorders>
              <w:top w:val="nil"/>
              <w:left w:val="nil"/>
              <w:bottom w:val="nil"/>
              <w:right w:val="nil"/>
            </w:tcBorders>
            <w:shd w:val="clear" w:color="auto" w:fill="auto"/>
            <w:noWrap/>
            <w:vAlign w:val="bottom"/>
            <w:hideMark/>
          </w:tcPr>
          <w:p w14:paraId="16F9666A"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78DAB92F"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79FF479E"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516B68DD"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20A2D8DA" w14:textId="77777777" w:rsidR="006E7DDC" w:rsidRPr="00A03A67" w:rsidRDefault="006E7DDC" w:rsidP="00AA4B3C">
            <w:pPr>
              <w:ind w:right="-720"/>
              <w:rPr>
                <w:rFonts w:ascii="Arial" w:hAnsi="Arial" w:cs="Arial"/>
                <w:sz w:val="20"/>
                <w:szCs w:val="20"/>
              </w:rPr>
            </w:pPr>
          </w:p>
        </w:tc>
      </w:tr>
      <w:tr w:rsidR="006E7DDC" w:rsidRPr="00A03A67" w14:paraId="4426796C" w14:textId="77777777" w:rsidTr="00B70F12">
        <w:trPr>
          <w:trHeight w:val="255"/>
        </w:trPr>
        <w:tc>
          <w:tcPr>
            <w:tcW w:w="1176" w:type="dxa"/>
            <w:tcBorders>
              <w:top w:val="nil"/>
              <w:left w:val="nil"/>
              <w:bottom w:val="nil"/>
              <w:right w:val="nil"/>
            </w:tcBorders>
            <w:shd w:val="clear" w:color="auto" w:fill="auto"/>
            <w:noWrap/>
            <w:vAlign w:val="bottom"/>
            <w:hideMark/>
          </w:tcPr>
          <w:p w14:paraId="3C1985EB"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3A335F24"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5FD5A897"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22B191C2"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11317E58" w14:textId="77777777" w:rsidR="006E7DDC" w:rsidRPr="00A03A67" w:rsidRDefault="006E7DDC" w:rsidP="00AA4B3C">
            <w:pPr>
              <w:ind w:right="-720"/>
              <w:rPr>
                <w:rFonts w:ascii="Arial" w:hAnsi="Arial" w:cs="Arial"/>
                <w:sz w:val="20"/>
                <w:szCs w:val="20"/>
              </w:rPr>
            </w:pPr>
          </w:p>
        </w:tc>
        <w:tc>
          <w:tcPr>
            <w:tcW w:w="1176" w:type="dxa"/>
            <w:tcBorders>
              <w:top w:val="nil"/>
              <w:left w:val="nil"/>
              <w:bottom w:val="nil"/>
              <w:right w:val="nil"/>
            </w:tcBorders>
            <w:shd w:val="clear" w:color="auto" w:fill="auto"/>
            <w:noWrap/>
            <w:vAlign w:val="bottom"/>
            <w:hideMark/>
          </w:tcPr>
          <w:p w14:paraId="32C8B8A8"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5960D1D5"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725EB92F"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36F333FD" w14:textId="77777777" w:rsidR="006E7DDC" w:rsidRPr="00A03A67" w:rsidRDefault="006E7DDC" w:rsidP="00AA4B3C">
            <w:pPr>
              <w:ind w:right="-720"/>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2B1E4AC0" w14:textId="77777777" w:rsidR="006E7DDC" w:rsidRPr="00A03A67" w:rsidRDefault="006E7DDC" w:rsidP="00AA4B3C">
            <w:pPr>
              <w:ind w:right="-720"/>
              <w:rPr>
                <w:rFonts w:ascii="Arial" w:hAnsi="Arial" w:cs="Arial"/>
                <w:sz w:val="20"/>
                <w:szCs w:val="20"/>
              </w:rPr>
            </w:pPr>
          </w:p>
        </w:tc>
      </w:tr>
    </w:tbl>
    <w:p w14:paraId="130CFDA0" w14:textId="77777777" w:rsidR="006E7DDC" w:rsidRDefault="006E7DDC" w:rsidP="00AA4B3C">
      <w:pPr>
        <w:ind w:right="-720"/>
      </w:pPr>
      <w:r>
        <w:t xml:space="preserve">     </w:t>
      </w:r>
    </w:p>
    <w:p w14:paraId="746AB159" w14:textId="77777777" w:rsidR="006E7DDC" w:rsidRDefault="006E7DDC" w:rsidP="00AA4B3C">
      <w:pPr>
        <w:ind w:right="-720"/>
        <w:jc w:val="center"/>
        <w:rPr>
          <w:b/>
        </w:rPr>
      </w:pPr>
    </w:p>
    <w:p w14:paraId="3C229573" w14:textId="77777777" w:rsidR="006E7DDC" w:rsidRDefault="006E7DDC" w:rsidP="00AA4B3C">
      <w:pPr>
        <w:ind w:right="-720"/>
        <w:jc w:val="center"/>
      </w:pPr>
      <w:r w:rsidRPr="002E0378">
        <w:rPr>
          <w:b/>
        </w:rPr>
        <w:t>FIGURE</w:t>
      </w:r>
      <w:r>
        <w:t xml:space="preserve"> Graphical representation of proportional hazards</w:t>
      </w:r>
    </w:p>
    <w:p w14:paraId="15CC28D5" w14:textId="77777777" w:rsidR="006E7DDC" w:rsidRDefault="006E7DDC" w:rsidP="00AA4B3C">
      <w:pPr>
        <w:tabs>
          <w:tab w:val="left" w:pos="720"/>
        </w:tabs>
        <w:ind w:right="-720"/>
        <w:rPr>
          <w:rFonts w:ascii="Book Antiqua" w:hAnsi="Book Antiqua" w:cs="Arial"/>
          <w:sz w:val="22"/>
          <w:szCs w:val="22"/>
        </w:rPr>
      </w:pPr>
    </w:p>
    <w:p w14:paraId="544734DE" w14:textId="604195B0" w:rsidR="006E7DDC" w:rsidRDefault="006E7DDC" w:rsidP="00AA4B3C">
      <w:pPr>
        <w:ind w:right="-720" w:firstLine="720"/>
        <w:jc w:val="both"/>
      </w:pPr>
      <w:r>
        <w:t xml:space="preserve">As just explained, proportional hazards imply that the hazard ratio is constant over survival time. For example, if a person of age 60 years with hypertension has hazard of MI 1.25 times of the person without hypertension, this ratio should continue to be 1.25 at 70 years and at age 80 years if these ages are in your data. This means that the hazard of MI increases with age in the same proportion in </w:t>
      </w:r>
      <w:proofErr w:type="spellStart"/>
      <w:r>
        <w:t>hypertensives</w:t>
      </w:r>
      <w:proofErr w:type="spellEnd"/>
      <w:r>
        <w:t xml:space="preserve"> as in </w:t>
      </w:r>
      <w:proofErr w:type="spellStart"/>
      <w:r>
        <w:t>nonhypertensives</w:t>
      </w:r>
      <w:proofErr w:type="spellEnd"/>
      <w:r>
        <w:t>. This may not hold for example for intricate surgery (</w:t>
      </w:r>
      <w:r w:rsidR="00190E05">
        <w:t>compared to</w:t>
      </w:r>
      <w:r>
        <w:t>, say, medical treatment) because of high risk of death at early stages due to perioperative causes and relatively lower risk of mortality at later stages of recovery when the surgery is seen as successful. When proportionality holds, no correction is required for the varying length of follow up of different subjects.</w:t>
      </w:r>
    </w:p>
    <w:p w14:paraId="4AC3F90C" w14:textId="527A4E8F" w:rsidR="006E7DDC" w:rsidRDefault="00453CF7" w:rsidP="00AA4B3C">
      <w:pPr>
        <w:ind w:right="-720"/>
        <w:jc w:val="both"/>
      </w:pPr>
      <w:r>
        <w:tab/>
        <w:t xml:space="preserve">You have seen </w:t>
      </w:r>
      <w:r w:rsidR="006E7DDC">
        <w:t>in one covariate s</w:t>
      </w:r>
      <w:r>
        <w:t>ituation that</w:t>
      </w:r>
      <w:r w:rsidR="006E7DDC">
        <w:t xml:space="preserve"> hazard ratio is the coefficient </w:t>
      </w:r>
      <w:r w:rsidR="006E7DDC">
        <w:rPr>
          <w:i/>
        </w:rPr>
        <w:t>b</w:t>
      </w:r>
      <w:r w:rsidR="006E7DDC">
        <w:t xml:space="preserve"> at any point of time in the Cox regression. This simple and useful interpretation has made hazard ratio so popular.</w:t>
      </w:r>
    </w:p>
    <w:p w14:paraId="5B361760" w14:textId="77777777" w:rsidR="006E7DDC" w:rsidRPr="00E4608B" w:rsidRDefault="006E7DDC" w:rsidP="00AA4B3C">
      <w:pPr>
        <w:tabs>
          <w:tab w:val="left" w:pos="720"/>
        </w:tabs>
        <w:ind w:right="-720"/>
      </w:pPr>
      <w:r>
        <w:rPr>
          <w:rFonts w:ascii="Book Antiqua" w:hAnsi="Book Antiqua" w:cs="Arial"/>
          <w:sz w:val="22"/>
          <w:szCs w:val="22"/>
        </w:rPr>
        <w:tab/>
      </w:r>
      <w:r w:rsidRPr="00E4608B">
        <w:t xml:space="preserve">Cox survival model also requires that the effect of covariates on hazard is multiplicative. This can also be stated as log-linear. To understand this, suppose now that another covariate </w:t>
      </w:r>
      <w:r w:rsidRPr="00E4608B">
        <w:rPr>
          <w:i/>
        </w:rPr>
        <w:t>x</w:t>
      </w:r>
      <w:r w:rsidRPr="00E4608B">
        <w:rPr>
          <w:vertAlign w:val="subscript"/>
        </w:rPr>
        <w:t>2</w:t>
      </w:r>
      <w:r w:rsidRPr="00E4608B">
        <w:t xml:space="preserve"> is included. For two covariates, (</w:t>
      </w:r>
      <w:r w:rsidRPr="00E4608B">
        <w:rPr>
          <w:i/>
          <w:iCs/>
        </w:rPr>
        <w:t>x</w:t>
      </w:r>
      <w:r w:rsidRPr="00E4608B">
        <w:rPr>
          <w:vertAlign w:val="subscript"/>
        </w:rPr>
        <w:t>1</w:t>
      </w:r>
      <w:r w:rsidRPr="00E4608B">
        <w:t xml:space="preserve">, </w:t>
      </w:r>
      <w:r w:rsidRPr="00E4608B">
        <w:rPr>
          <w:i/>
          <w:iCs/>
        </w:rPr>
        <w:t>x</w:t>
      </w:r>
      <w:r w:rsidRPr="00E4608B">
        <w:rPr>
          <w:vertAlign w:val="subscript"/>
        </w:rPr>
        <w:t>2</w:t>
      </w:r>
      <w:r w:rsidRPr="00E4608B">
        <w:t>), Eq. (18.a) gives</w:t>
      </w:r>
    </w:p>
    <w:p w14:paraId="452BABCB" w14:textId="77777777" w:rsidR="006E7DDC" w:rsidRPr="00E4608B" w:rsidRDefault="006E7DDC" w:rsidP="00AA4B3C">
      <w:pPr>
        <w:tabs>
          <w:tab w:val="left" w:pos="720"/>
        </w:tabs>
        <w:ind w:right="-720"/>
      </w:pPr>
      <w:r w:rsidRPr="00E4608B">
        <w:tab/>
      </w:r>
      <w:proofErr w:type="gramStart"/>
      <w:r w:rsidRPr="00E4608B">
        <w:rPr>
          <w:i/>
          <w:iCs/>
        </w:rPr>
        <w:t>h</w:t>
      </w:r>
      <w:proofErr w:type="gramEnd"/>
      <w:r w:rsidRPr="00E4608B">
        <w:t>(</w:t>
      </w:r>
      <w:r w:rsidRPr="00E4608B">
        <w:rPr>
          <w:i/>
          <w:iCs/>
        </w:rPr>
        <w:t>t</w:t>
      </w:r>
      <w:r w:rsidRPr="00E4608B">
        <w:t xml:space="preserve">) = </w:t>
      </w:r>
      <w:r w:rsidRPr="00E4608B">
        <w:rPr>
          <w:i/>
          <w:iCs/>
        </w:rPr>
        <w:t>h</w:t>
      </w:r>
      <w:r w:rsidRPr="00E4608B">
        <w:rPr>
          <w:vertAlign w:val="subscript"/>
        </w:rPr>
        <w:t>0</w:t>
      </w:r>
      <w:r w:rsidRPr="00E4608B">
        <w:t>(</w:t>
      </w:r>
      <w:r w:rsidRPr="00E4608B">
        <w:rPr>
          <w:i/>
          <w:iCs/>
        </w:rPr>
        <w:t>t</w:t>
      </w:r>
      <w:r w:rsidRPr="00E4608B">
        <w:t>)</w:t>
      </w:r>
      <w:r w:rsidR="00453CF7" w:rsidRPr="00E4608B">
        <w:rPr>
          <w:position w:val="-6"/>
        </w:rPr>
        <w:object w:dxaOrig="740" w:dyaOrig="360" w14:anchorId="3414B979">
          <v:shape id="_x0000_i1043" type="#_x0000_t75" style="width:37.35pt;height:18pt" o:ole="">
            <v:imagedata r:id="rId18" o:title=""/>
          </v:shape>
          <o:OLEObject Type="Embed" ProgID="Equation.3" ShapeID="_x0000_i1043" DrawAspect="Content" ObjectID="_1235389817" r:id="rId19"/>
        </w:object>
      </w:r>
    </w:p>
    <w:p w14:paraId="376A767E" w14:textId="77777777" w:rsidR="006E7DDC" w:rsidRPr="00E4608B" w:rsidRDefault="006E7DDC" w:rsidP="00AA4B3C">
      <w:pPr>
        <w:tabs>
          <w:tab w:val="left" w:pos="720"/>
        </w:tabs>
        <w:ind w:right="-720"/>
      </w:pPr>
      <w:r w:rsidRPr="00E4608B">
        <w:tab/>
        <w:t xml:space="preserve">       = </w:t>
      </w:r>
      <w:proofErr w:type="gramStart"/>
      <w:r w:rsidRPr="00E4608B">
        <w:rPr>
          <w:i/>
          <w:iCs/>
        </w:rPr>
        <w:t>h</w:t>
      </w:r>
      <w:r w:rsidRPr="00E4608B">
        <w:rPr>
          <w:vertAlign w:val="subscript"/>
        </w:rPr>
        <w:t>0</w:t>
      </w:r>
      <w:proofErr w:type="gramEnd"/>
      <w:r w:rsidRPr="00E4608B">
        <w:t>(</w:t>
      </w:r>
      <w:r w:rsidRPr="00E4608B">
        <w:rPr>
          <w:i/>
          <w:iCs/>
        </w:rPr>
        <w:t>t</w:t>
      </w:r>
      <w:r w:rsidRPr="00E4608B">
        <w:t>)</w:t>
      </w:r>
      <w:r w:rsidR="00453CF7" w:rsidRPr="00E4608B">
        <w:rPr>
          <w:position w:val="-6"/>
        </w:rPr>
        <w:object w:dxaOrig="940" w:dyaOrig="360" w14:anchorId="1A1C2928">
          <v:shape id="_x0000_i1046" type="#_x0000_t75" style="width:47.35pt;height:18pt" o:ole="">
            <v:imagedata r:id="rId20" o:title=""/>
          </v:shape>
          <o:OLEObject Type="Embed" ProgID="Equation.3" ShapeID="_x0000_i1046" DrawAspect="Content" ObjectID="_1235389818" r:id="rId21"/>
        </w:object>
      </w:r>
    </w:p>
    <w:p w14:paraId="0A50A142" w14:textId="6F2F970D" w:rsidR="006E7DDC" w:rsidRPr="00E4608B" w:rsidRDefault="006E7DDC" w:rsidP="00AA4B3C">
      <w:pPr>
        <w:ind w:right="-720" w:firstLine="720"/>
        <w:jc w:val="both"/>
      </w:pPr>
      <w:r w:rsidRPr="00E4608B">
        <w:t xml:space="preserve">Thus the hazard is multiplicative of the effects of </w:t>
      </w:r>
      <w:r w:rsidRPr="00E4608B">
        <w:rPr>
          <w:i/>
        </w:rPr>
        <w:t>x</w:t>
      </w:r>
      <w:r w:rsidRPr="00E4608B">
        <w:rPr>
          <w:vertAlign w:val="subscript"/>
        </w:rPr>
        <w:t>1</w:t>
      </w:r>
      <w:r w:rsidRPr="00E4608B">
        <w:t xml:space="preserve"> and </w:t>
      </w:r>
      <w:r w:rsidRPr="00E4608B">
        <w:rPr>
          <w:i/>
          <w:iCs/>
        </w:rPr>
        <w:t>x</w:t>
      </w:r>
      <w:r w:rsidRPr="00E4608B">
        <w:rPr>
          <w:vertAlign w:val="subscript"/>
        </w:rPr>
        <w:t>2</w:t>
      </w:r>
      <w:r w:rsidRPr="00E4608B">
        <w:t xml:space="preserve">. If </w:t>
      </w:r>
      <w:r w:rsidRPr="00E4608B">
        <w:rPr>
          <w:i/>
        </w:rPr>
        <w:t>x</w:t>
      </w:r>
      <w:r w:rsidRPr="00E4608B">
        <w:rPr>
          <w:vertAlign w:val="subscript"/>
        </w:rPr>
        <w:t>2</w:t>
      </w:r>
      <w:r w:rsidRPr="00E4608B">
        <w:t xml:space="preserve"> </w:t>
      </w:r>
      <w:r w:rsidR="00453CF7" w:rsidRPr="00E4608B">
        <w:t>is also dichotomous, say gender</w:t>
      </w:r>
      <w:r w:rsidRPr="00E4608B">
        <w:t xml:space="preserve"> with values </w:t>
      </w:r>
      <w:r w:rsidRPr="00E4608B">
        <w:rPr>
          <w:i/>
          <w:iCs/>
        </w:rPr>
        <w:t>x</w:t>
      </w:r>
      <w:r w:rsidRPr="00E4608B">
        <w:rPr>
          <w:vertAlign w:val="subscript"/>
        </w:rPr>
        <w:t>2</w:t>
      </w:r>
      <w:r w:rsidRPr="00E4608B">
        <w:t xml:space="preserve"> = 0 for males and </w:t>
      </w:r>
      <w:r w:rsidRPr="00E4608B">
        <w:rPr>
          <w:i/>
          <w:iCs/>
        </w:rPr>
        <w:t>x</w:t>
      </w:r>
      <w:r w:rsidRPr="00E4608B">
        <w:rPr>
          <w:vertAlign w:val="subscript"/>
        </w:rPr>
        <w:t>2</w:t>
      </w:r>
      <w:r w:rsidRPr="00E4608B">
        <w:t xml:space="preserve"> = 1 for females, this </w:t>
      </w:r>
      <w:r w:rsidR="00E4608B" w:rsidRPr="00E4608B">
        <w:t>would imply</w:t>
      </w:r>
      <w:r w:rsidRPr="00E4608B">
        <w:t xml:space="preserve"> that the effect of treatment in males is the same as in females. There is no interaction. If interaction exists, a third variable </w:t>
      </w:r>
      <w:r w:rsidRPr="00E4608B">
        <w:rPr>
          <w:i/>
        </w:rPr>
        <w:t>x</w:t>
      </w:r>
      <w:r w:rsidRPr="00E4608B">
        <w:rPr>
          <w:vertAlign w:val="subscript"/>
        </w:rPr>
        <w:t>3</w:t>
      </w:r>
      <w:r w:rsidRPr="00E4608B">
        <w:t xml:space="preserve"> is introduced. This would be defined as </w:t>
      </w:r>
      <w:r w:rsidRPr="00E4608B">
        <w:rPr>
          <w:i/>
        </w:rPr>
        <w:t>x</w:t>
      </w:r>
      <w:r w:rsidRPr="00E4608B">
        <w:rPr>
          <w:vertAlign w:val="subscript"/>
        </w:rPr>
        <w:t>3</w:t>
      </w:r>
      <w:r w:rsidRPr="00E4608B">
        <w:t xml:space="preserve"> = </w:t>
      </w:r>
      <w:r w:rsidRPr="00E4608B">
        <w:rPr>
          <w:i/>
          <w:iCs/>
        </w:rPr>
        <w:t>x</w:t>
      </w:r>
      <w:r w:rsidRPr="00E4608B">
        <w:rPr>
          <w:vertAlign w:val="subscript"/>
        </w:rPr>
        <w:t>1</w:t>
      </w:r>
      <w:r w:rsidRPr="00E4608B">
        <w:t>*</w:t>
      </w:r>
      <w:r w:rsidRPr="00E4608B">
        <w:rPr>
          <w:i/>
          <w:iCs/>
        </w:rPr>
        <w:t>x</w:t>
      </w:r>
      <w:r w:rsidRPr="00E4608B">
        <w:rPr>
          <w:vertAlign w:val="subscript"/>
        </w:rPr>
        <w:t>2</w:t>
      </w:r>
      <w:r w:rsidRPr="00E4608B">
        <w:t xml:space="preserve">. This product has values </w:t>
      </w:r>
      <w:r w:rsidRPr="00E4608B">
        <w:rPr>
          <w:i/>
        </w:rPr>
        <w:t>x</w:t>
      </w:r>
      <w:r w:rsidRPr="00E4608B">
        <w:rPr>
          <w:vertAlign w:val="subscript"/>
        </w:rPr>
        <w:t>3</w:t>
      </w:r>
      <w:r w:rsidRPr="00E4608B">
        <w:t xml:space="preserve"> = 1 when </w:t>
      </w:r>
      <w:r w:rsidRPr="00E4608B">
        <w:rPr>
          <w:i/>
          <w:iCs/>
        </w:rPr>
        <w:t>x</w:t>
      </w:r>
      <w:r w:rsidRPr="00E4608B">
        <w:rPr>
          <w:vertAlign w:val="subscript"/>
        </w:rPr>
        <w:t>1</w:t>
      </w:r>
      <w:r w:rsidRPr="00E4608B">
        <w:t xml:space="preserve"> = 1 and </w:t>
      </w:r>
      <w:r w:rsidRPr="00E4608B">
        <w:rPr>
          <w:i/>
          <w:iCs/>
        </w:rPr>
        <w:t>x</w:t>
      </w:r>
      <w:r w:rsidRPr="00E4608B">
        <w:rPr>
          <w:vertAlign w:val="subscript"/>
        </w:rPr>
        <w:t>2</w:t>
      </w:r>
      <w:r w:rsidRPr="00E4608B">
        <w:t xml:space="preserve"> = 1, otherwise zero. Such conditions are generally fulfilled when the covariate is time invariant.  </w:t>
      </w:r>
    </w:p>
    <w:p w14:paraId="52472084" w14:textId="77777777" w:rsidR="006E7DDC" w:rsidRDefault="006E7DDC" w:rsidP="00AA4B3C">
      <w:pPr>
        <w:ind w:right="-720" w:firstLine="720"/>
        <w:jc w:val="both"/>
      </w:pPr>
      <w:r>
        <w:t xml:space="preserve">As an illustration of how Cox model works, consider hazard of complications in case of peritonitis with different APACHE scores. If the coefficient </w:t>
      </w:r>
      <w:r w:rsidRPr="00A04CF0">
        <w:rPr>
          <w:i/>
        </w:rPr>
        <w:t>b</w:t>
      </w:r>
      <w:r>
        <w:t xml:space="preserve"> for APACHE is 0.0487, what does it imply? This means that if APACHE score increases by one, the hazard ratio (relative to APACHE score = 0, check) of complication is </w:t>
      </w:r>
      <w:proofErr w:type="spellStart"/>
      <w:proofErr w:type="gramStart"/>
      <w:r>
        <w:t>exp</w:t>
      </w:r>
      <w:proofErr w:type="spellEnd"/>
      <w:r>
        <w:t>(</w:t>
      </w:r>
      <w:proofErr w:type="gramEnd"/>
      <w:r>
        <w:t xml:space="preserve">0.0487) = 1.050. If APACHE score increases by 8, the hazard ratio becomes </w:t>
      </w:r>
      <w:proofErr w:type="spellStart"/>
      <w:proofErr w:type="gramStart"/>
      <w:r>
        <w:t>exp</w:t>
      </w:r>
      <w:proofErr w:type="spellEnd"/>
      <w:r>
        <w:t>(</w:t>
      </w:r>
      <w:proofErr w:type="gramEnd"/>
      <w:r>
        <w:t>8</w:t>
      </w:r>
      <w:r>
        <w:sym w:font="Symbol" w:char="F0B4"/>
      </w:r>
      <w:r>
        <w:t xml:space="preserve">0.0487= 1.476, i.e., about 1½ times. In place of continuous APACHE, consider binary variable such as gender. If </w:t>
      </w:r>
      <w:r w:rsidRPr="00723895">
        <w:rPr>
          <w:i/>
        </w:rPr>
        <w:t>b</w:t>
      </w:r>
      <w:r>
        <w:t xml:space="preserve"> for gender is 0.675 and the coding is 1 for men and 0 for women (so that women is the reference category), the hazard ratio of men to </w:t>
      </w:r>
      <w:r>
        <w:lastRenderedPageBreak/>
        <w:t xml:space="preserve">women is </w:t>
      </w:r>
      <w:proofErr w:type="spellStart"/>
      <w:r>
        <w:t>exp</w:t>
      </w:r>
      <w:proofErr w:type="spellEnd"/>
      <w:r>
        <w:t xml:space="preserve"> (0.675) = 1.96. Thus men have nearly twice as much hazard of developing complication in peritonitis as in women. For these two risk factors, the model would be</w:t>
      </w:r>
    </w:p>
    <w:p w14:paraId="0DB742FF" w14:textId="77777777" w:rsidR="006E7DDC" w:rsidRDefault="006E7DDC" w:rsidP="00AA4B3C">
      <w:pPr>
        <w:ind w:right="-720"/>
        <w:jc w:val="both"/>
      </w:pPr>
    </w:p>
    <w:p w14:paraId="4A91D859" w14:textId="77777777" w:rsidR="006E7DDC" w:rsidRPr="00933D45" w:rsidRDefault="006E7DDC" w:rsidP="00AA4B3C">
      <w:pPr>
        <w:ind w:right="-720" w:firstLine="720"/>
        <w:jc w:val="both"/>
      </w:pPr>
      <w:r w:rsidRPr="00933D45">
        <w:rPr>
          <w:i/>
        </w:rPr>
        <w:t>λ</w:t>
      </w:r>
      <w:r>
        <w:t xml:space="preserve"> (</w:t>
      </w:r>
      <w:r w:rsidRPr="00933D45">
        <w:rPr>
          <w:i/>
        </w:rPr>
        <w:t>t</w:t>
      </w:r>
      <w:r>
        <w:t xml:space="preserve">) = </w:t>
      </w:r>
      <w:r w:rsidRPr="00933D45">
        <w:rPr>
          <w:i/>
        </w:rPr>
        <w:t>λ</w:t>
      </w:r>
      <w:r w:rsidRPr="00933D45">
        <w:rPr>
          <w:i/>
          <w:vertAlign w:val="subscript"/>
        </w:rPr>
        <w:t>0</w:t>
      </w:r>
      <w:r>
        <w:t xml:space="preserve"> [</w:t>
      </w:r>
      <w:proofErr w:type="spellStart"/>
      <w:r>
        <w:t>exp</w:t>
      </w:r>
      <w:proofErr w:type="spellEnd"/>
      <w:r>
        <w:t xml:space="preserve"> (0.0487)*APACHE]*[</w:t>
      </w:r>
      <w:proofErr w:type="spellStart"/>
      <w:proofErr w:type="gramStart"/>
      <w:r>
        <w:t>exp</w:t>
      </w:r>
      <w:proofErr w:type="spellEnd"/>
      <w:r>
        <w:t>(</w:t>
      </w:r>
      <w:proofErr w:type="gramEnd"/>
      <w:r>
        <w:t xml:space="preserve">0.675)*gender] for all </w:t>
      </w:r>
      <w:r w:rsidRPr="00933D45">
        <w:rPr>
          <w:i/>
        </w:rPr>
        <w:t>t</w:t>
      </w:r>
      <w:r>
        <w:t>.</w:t>
      </w:r>
    </w:p>
    <w:p w14:paraId="5825B283" w14:textId="77777777" w:rsidR="006E7DDC" w:rsidRDefault="006E7DDC" w:rsidP="00AA4B3C">
      <w:pPr>
        <w:ind w:right="-720"/>
      </w:pPr>
      <w:r>
        <w:t xml:space="preserve"> </w:t>
      </w:r>
    </w:p>
    <w:p w14:paraId="393E1FCF" w14:textId="77777777" w:rsidR="006E7DDC" w:rsidRDefault="006E7DDC" w:rsidP="00AA4B3C">
      <w:pPr>
        <w:tabs>
          <w:tab w:val="left" w:pos="720"/>
        </w:tabs>
        <w:ind w:right="-720"/>
        <w:rPr>
          <w:rFonts w:ascii="Book Antiqua" w:hAnsi="Book Antiqua" w:cs="Arial"/>
          <w:sz w:val="22"/>
          <w:szCs w:val="22"/>
        </w:rPr>
      </w:pPr>
      <w:r>
        <w:t xml:space="preserve">As in the case of logistic, any unusually large coefficient in Cox model or large SE should be regarded as wrong. It can arise either due to strong </w:t>
      </w:r>
      <w:proofErr w:type="spellStart"/>
      <w:r>
        <w:t>multicolinearity</w:t>
      </w:r>
      <w:proofErr w:type="spellEnd"/>
      <w:r>
        <w:t xml:space="preserve"> or due to extremely small number of subjects in a particular subgroup. Such instances highlight the importance of scrutinizing the data and exploring their suitability for a particular analysis. The bottom line is the investigator himself who must take all the responsibility.</w:t>
      </w:r>
    </w:p>
    <w:p w14:paraId="1F572856" w14:textId="77777777" w:rsidR="006E7DDC" w:rsidRPr="00E4608B" w:rsidRDefault="006E7DDC" w:rsidP="00AA4B3C">
      <w:pPr>
        <w:tabs>
          <w:tab w:val="left" w:pos="720"/>
        </w:tabs>
        <w:ind w:right="-720"/>
      </w:pPr>
      <w:r>
        <w:rPr>
          <w:rFonts w:ascii="Book Antiqua" w:hAnsi="Book Antiqua" w:cs="Arial"/>
          <w:sz w:val="22"/>
          <w:szCs w:val="22"/>
        </w:rPr>
        <w:tab/>
      </w:r>
      <w:r w:rsidRPr="00E4608B">
        <w:t>Time invariance of covariates is quite a strict condition in the context of survival. Generally, life style and physiological variables change over time, while background characteristics such as gender, blood group, ethnicity and urban/rural residence remain stable. If you are not sure, check that interaction between the covariate and time has statistically not significant coefficient. This can be done by a test such as Wald’s. This can be done for quantitative covariate. For qualitative covariate, compute baseline hazard for each category of the covariate and see if it is nearly the same. Nevertheless, baseline values of all covariates can still be incorporated because they remain same. If significant, abandon the Cox proportion hazards model in favor of time-dependent covariates model (not discussed in this text).</w:t>
      </w:r>
    </w:p>
    <w:p w14:paraId="6DB32070" w14:textId="77777777" w:rsidR="006E7DDC" w:rsidRPr="00E4608B" w:rsidRDefault="006E7DDC" w:rsidP="00AA4B3C">
      <w:pPr>
        <w:tabs>
          <w:tab w:val="left" w:pos="720"/>
        </w:tabs>
        <w:ind w:right="-720"/>
      </w:pPr>
      <w:r w:rsidRPr="00E4608B">
        <w:tab/>
        <w:t xml:space="preserve">For Cox survival model, all </w:t>
      </w:r>
      <w:proofErr w:type="spellStart"/>
      <w:r w:rsidRPr="00E4608B">
        <w:t>polytomous</w:t>
      </w:r>
      <w:proofErr w:type="spellEnd"/>
      <w:r w:rsidRPr="00E4608B">
        <w:t xml:space="preserve"> covariates are converted to a series of binary classes by using dummy variables. Most statistical software would do this once you specify that a particular covariate is </w:t>
      </w:r>
      <w:proofErr w:type="spellStart"/>
      <w:r w:rsidRPr="00E4608B">
        <w:t>polytomous</w:t>
      </w:r>
      <w:proofErr w:type="spellEnd"/>
      <w:r w:rsidRPr="00E4608B">
        <w:t xml:space="preserve">. As in the regression models, the covariates in Cox model also should not have high </w:t>
      </w:r>
      <w:proofErr w:type="spellStart"/>
      <w:r w:rsidRPr="00E4608B">
        <w:t>multicolinearity</w:t>
      </w:r>
      <w:proofErr w:type="spellEnd"/>
    </w:p>
    <w:p w14:paraId="0BF0678B" w14:textId="77777777" w:rsidR="006E7DDC" w:rsidRDefault="006E7DDC" w:rsidP="00AA4B3C">
      <w:pPr>
        <w:tabs>
          <w:tab w:val="left" w:pos="720"/>
        </w:tabs>
        <w:ind w:right="-720"/>
        <w:rPr>
          <w:rFonts w:ascii="Book Antiqua" w:hAnsi="Book Antiqua" w:cs="Arial"/>
          <w:sz w:val="22"/>
          <w:szCs w:val="22"/>
        </w:rPr>
      </w:pPr>
      <w:r w:rsidRPr="00E4608B">
        <w:tab/>
      </w:r>
      <w:r>
        <w:rPr>
          <w:rFonts w:ascii="Book Antiqua" w:hAnsi="Book Antiqua" w:cs="Arial"/>
          <w:sz w:val="22"/>
          <w:szCs w:val="22"/>
        </w:rPr>
        <w:t>When the above-mentioned conditions are met, Cox model provides better estimates of the hazard at any point of time than the Kaplan</w:t>
      </w:r>
      <w:r>
        <w:rPr>
          <w:rFonts w:ascii="Book Antiqua" w:hAnsi="Book Antiqua" w:cs="Arial"/>
          <w:sz w:val="22"/>
          <w:szCs w:val="22"/>
        </w:rPr>
        <w:softHyphen/>
        <w:t xml:space="preserve">-Meier method. </w:t>
      </w:r>
      <w:proofErr w:type="gramStart"/>
      <w:r>
        <w:rPr>
          <w:rFonts w:ascii="Book Antiqua" w:hAnsi="Book Antiqua" w:cs="Arial"/>
          <w:sz w:val="22"/>
          <w:szCs w:val="22"/>
        </w:rPr>
        <w:t>Hazard ratio associated with a covariate is given by the exponent of its coefficient in the model</w:t>
      </w:r>
      <w:proofErr w:type="gramEnd"/>
      <w:r>
        <w:rPr>
          <w:rFonts w:ascii="Book Antiqua" w:hAnsi="Book Antiqua" w:cs="Arial"/>
          <w:sz w:val="22"/>
          <w:szCs w:val="22"/>
        </w:rPr>
        <w:t>. This will provide the estimate of the independent (or adjusted) effect of that covariate when other covariates are also present in the model. The estimate would come from appropriate software.</w:t>
      </w:r>
    </w:p>
    <w:p w14:paraId="20C106E8" w14:textId="3D18693A" w:rsidR="006E7DDC" w:rsidRDefault="006E7DDC" w:rsidP="00AA4B3C">
      <w:pPr>
        <w:tabs>
          <w:tab w:val="left" w:pos="720"/>
        </w:tabs>
        <w:ind w:right="-720"/>
        <w:rPr>
          <w:rFonts w:ascii="Book Antiqua" w:hAnsi="Book Antiqua" w:cs="Arial"/>
          <w:sz w:val="22"/>
          <w:szCs w:val="22"/>
        </w:rPr>
      </w:pPr>
      <w:r>
        <w:rPr>
          <w:rFonts w:ascii="Book Antiqua" w:hAnsi="Book Antiqua" w:cs="Arial"/>
          <w:sz w:val="22"/>
          <w:szCs w:val="22"/>
        </w:rPr>
        <w:tab/>
        <w:t>Not many researchers test goodness of fit of Cox model. For test of this hypothesis, the deviance –2ln</w:t>
      </w:r>
      <w:r>
        <w:rPr>
          <w:rFonts w:ascii="Book Antiqua" w:hAnsi="Book Antiqua" w:cs="Arial"/>
          <w:i/>
          <w:sz w:val="22"/>
          <w:szCs w:val="22"/>
        </w:rPr>
        <w:t>L</w:t>
      </w:r>
      <w:r>
        <w:rPr>
          <w:rFonts w:ascii="Book Antiqua" w:hAnsi="Book Antiqua" w:cs="Arial"/>
          <w:sz w:val="22"/>
          <w:szCs w:val="22"/>
        </w:rPr>
        <w:t xml:space="preserve"> is used as in the logistic regression. The test for the overall model is provided by the difference in deviance of the full model and the deviance for just </w:t>
      </w:r>
      <w:r>
        <w:rPr>
          <w:rFonts w:ascii="Book Antiqua" w:hAnsi="Book Antiqua" w:cs="Arial"/>
          <w:i/>
          <w:sz w:val="22"/>
          <w:szCs w:val="22"/>
        </w:rPr>
        <w:sym w:font="Symbol" w:char="F06C"/>
      </w:r>
      <w:r>
        <w:rPr>
          <w:rFonts w:ascii="Book Antiqua" w:hAnsi="Book Antiqua" w:cs="Arial"/>
          <w:i/>
          <w:sz w:val="22"/>
          <w:szCs w:val="22"/>
          <w:vertAlign w:val="subscript"/>
        </w:rPr>
        <w:t>0</w:t>
      </w:r>
      <w:r>
        <w:rPr>
          <w:rFonts w:ascii="Book Antiqua" w:hAnsi="Book Antiqua" w:cs="Arial"/>
          <w:sz w:val="22"/>
          <w:szCs w:val="22"/>
        </w:rPr>
        <w:t>(</w:t>
      </w:r>
      <w:r>
        <w:rPr>
          <w:rFonts w:ascii="Book Antiqua" w:hAnsi="Book Antiqua" w:cs="Arial"/>
          <w:i/>
          <w:sz w:val="22"/>
          <w:szCs w:val="22"/>
        </w:rPr>
        <w:t>t</w:t>
      </w:r>
      <w:r>
        <w:rPr>
          <w:rFonts w:ascii="Book Antiqua" w:hAnsi="Book Antiqua" w:cs="Arial"/>
          <w:sz w:val="22"/>
          <w:szCs w:val="22"/>
        </w:rPr>
        <w:t>), which measures the effect of time only. This will tell whether all covariates together are of any help or not in explaining the hazard. To assess the utility of any particular covariate, calculate –2ln</w:t>
      </w:r>
      <w:r>
        <w:rPr>
          <w:rFonts w:ascii="Book Antiqua" w:hAnsi="Book Antiqua" w:cs="Arial"/>
          <w:i/>
          <w:sz w:val="22"/>
          <w:szCs w:val="22"/>
        </w:rPr>
        <w:t>L</w:t>
      </w:r>
      <w:r>
        <w:rPr>
          <w:rFonts w:ascii="Book Antiqua" w:hAnsi="Book Antiqua" w:cs="Arial"/>
          <w:sz w:val="22"/>
          <w:szCs w:val="22"/>
        </w:rPr>
        <w:t xml:space="preserve"> with and without that covariate and refer the difference to chi-square with one </w:t>
      </w:r>
      <w:proofErr w:type="spellStart"/>
      <w:proofErr w:type="gramStart"/>
      <w:r>
        <w:rPr>
          <w:rFonts w:ascii="Book Antiqua" w:hAnsi="Book Antiqua" w:cs="Arial"/>
          <w:sz w:val="22"/>
          <w:szCs w:val="22"/>
        </w:rPr>
        <w:t>df</w:t>
      </w:r>
      <w:proofErr w:type="spellEnd"/>
      <w:proofErr w:type="gramEnd"/>
      <w:r>
        <w:rPr>
          <w:rFonts w:ascii="Book Antiqua" w:hAnsi="Book Antiqua" w:cs="Arial"/>
          <w:sz w:val="22"/>
          <w:szCs w:val="22"/>
        </w:rPr>
        <w:t>. For testing significance of individual covariates, Wald statistic is preferred as it gives slightly better results. In this case, this is just [</w:t>
      </w:r>
      <w:r w:rsidRPr="00723895">
        <w:rPr>
          <w:rFonts w:ascii="Book Antiqua" w:hAnsi="Book Antiqua" w:cs="Arial"/>
          <w:i/>
          <w:sz w:val="22"/>
          <w:szCs w:val="22"/>
        </w:rPr>
        <w:t>b</w:t>
      </w:r>
      <w:r>
        <w:rPr>
          <w:rFonts w:ascii="Book Antiqua" w:hAnsi="Book Antiqua" w:cs="Arial"/>
          <w:sz w:val="22"/>
          <w:szCs w:val="22"/>
        </w:rPr>
        <w:t>/</w:t>
      </w:r>
      <w:proofErr w:type="gramStart"/>
      <w:r>
        <w:rPr>
          <w:rFonts w:ascii="Book Antiqua" w:hAnsi="Book Antiqua" w:cs="Arial"/>
          <w:sz w:val="22"/>
          <w:szCs w:val="22"/>
        </w:rPr>
        <w:t>SE(</w:t>
      </w:r>
      <w:proofErr w:type="gramEnd"/>
      <w:r w:rsidRPr="00723895">
        <w:rPr>
          <w:rFonts w:ascii="Book Antiqua" w:hAnsi="Book Antiqua" w:cs="Arial"/>
          <w:i/>
          <w:sz w:val="22"/>
          <w:szCs w:val="22"/>
        </w:rPr>
        <w:t>b</w:t>
      </w:r>
      <w:r>
        <w:rPr>
          <w:rFonts w:ascii="Book Antiqua" w:hAnsi="Book Antiqua" w:cs="Arial"/>
          <w:sz w:val="22"/>
          <w:szCs w:val="22"/>
        </w:rPr>
        <w:t>)]</w:t>
      </w:r>
      <w:r w:rsidRPr="00723895">
        <w:rPr>
          <w:rFonts w:ascii="Book Antiqua" w:hAnsi="Book Antiqua" w:cs="Arial"/>
          <w:sz w:val="22"/>
          <w:szCs w:val="22"/>
          <w:vertAlign w:val="superscript"/>
        </w:rPr>
        <w:t>2</w:t>
      </w:r>
      <w:r w:rsidR="00E4608B">
        <w:rPr>
          <w:rFonts w:ascii="Book Antiqua" w:hAnsi="Book Antiqua" w:cs="Arial"/>
          <w:sz w:val="22"/>
          <w:szCs w:val="22"/>
        </w:rPr>
        <w:t xml:space="preserve"> and referred to chi-squa</w:t>
      </w:r>
      <w:r>
        <w:rPr>
          <w:rFonts w:ascii="Book Antiqua" w:hAnsi="Book Antiqua" w:cs="Arial"/>
          <w:sz w:val="22"/>
          <w:szCs w:val="22"/>
        </w:rPr>
        <w:t xml:space="preserve">re at 1 </w:t>
      </w:r>
      <w:proofErr w:type="spellStart"/>
      <w:r>
        <w:rPr>
          <w:rFonts w:ascii="Book Antiqua" w:hAnsi="Book Antiqua" w:cs="Arial"/>
          <w:sz w:val="22"/>
          <w:szCs w:val="22"/>
        </w:rPr>
        <w:t>df</w:t>
      </w:r>
      <w:proofErr w:type="spellEnd"/>
      <w:r>
        <w:rPr>
          <w:rFonts w:ascii="Book Antiqua" w:hAnsi="Book Antiqua" w:cs="Arial"/>
          <w:sz w:val="22"/>
          <w:szCs w:val="22"/>
        </w:rPr>
        <w:t>.</w:t>
      </w:r>
    </w:p>
    <w:p w14:paraId="2832A9BB" w14:textId="77777777" w:rsidR="006E7DDC" w:rsidRDefault="006E7DDC" w:rsidP="00AA4B3C">
      <w:pPr>
        <w:tabs>
          <w:tab w:val="left" w:pos="1320"/>
        </w:tabs>
        <w:spacing w:before="240"/>
        <w:ind w:left="1320" w:right="-720" w:hanging="1320"/>
        <w:rPr>
          <w:rFonts w:ascii="Arial" w:hAnsi="Arial" w:cs="Arial"/>
          <w:b/>
          <w:sz w:val="20"/>
          <w:szCs w:val="20"/>
        </w:rPr>
      </w:pPr>
      <w:r>
        <w:rPr>
          <w:rFonts w:ascii="Arial" w:hAnsi="Arial" w:cs="Arial"/>
          <w:b/>
          <w:sz w:val="20"/>
          <w:szCs w:val="20"/>
        </w:rPr>
        <w:t>Example 18.5 Cox model for identification of risk factors of 15-year mortality after the age 65 years</w:t>
      </w:r>
    </w:p>
    <w:p w14:paraId="3AA62E4B" w14:textId="77777777" w:rsidR="006E7DDC" w:rsidRPr="00723895" w:rsidRDefault="006E7DDC" w:rsidP="00AA4B3C">
      <w:pPr>
        <w:tabs>
          <w:tab w:val="left" w:pos="720"/>
        </w:tabs>
        <w:ind w:right="-720"/>
        <w:rPr>
          <w:rFonts w:ascii="Arial" w:hAnsi="Arial" w:cs="Arial"/>
          <w:sz w:val="20"/>
          <w:szCs w:val="20"/>
        </w:rPr>
      </w:pPr>
      <w:r>
        <w:rPr>
          <w:rFonts w:ascii="Arial" w:hAnsi="Arial" w:cs="Arial"/>
          <w:sz w:val="20"/>
          <w:szCs w:val="20"/>
        </w:rPr>
        <w:t xml:space="preserve">Ahmad and Bath [13] obtained data from a nationally representative sample of 1042 community dwelling people in U.K. of age 65 years or more.  Their survival time since 1985 was recorded with censoring in the year 2000. Data pertain to 460 independent variables on cognitive impairment, physical health, physical activity, psychological </w:t>
      </w:r>
      <w:proofErr w:type="gramStart"/>
      <w:r>
        <w:rPr>
          <w:rFonts w:ascii="Arial" w:hAnsi="Arial" w:cs="Arial"/>
          <w:sz w:val="20"/>
          <w:szCs w:val="20"/>
        </w:rPr>
        <w:t>well-being</w:t>
      </w:r>
      <w:proofErr w:type="gramEnd"/>
      <w:r>
        <w:rPr>
          <w:rFonts w:ascii="Arial" w:hAnsi="Arial" w:cs="Arial"/>
          <w:sz w:val="20"/>
          <w:szCs w:val="20"/>
        </w:rPr>
        <w:t>, etc. Six Cox models were run that were asked to select 1, 2, 4, 8, 12 and 16 most important variables respectively to predict survival time. Besides age, the analysis found handgrip strength as an important marker of frailty in predicting early death. Pain in joints causing difficulty in carrying bags and self-rated activity compared to peers were important predictors of long-term mortality.</w:t>
      </w:r>
    </w:p>
    <w:p w14:paraId="144AD867" w14:textId="77777777" w:rsidR="006E7DDC" w:rsidRDefault="006E7DDC" w:rsidP="00AA4B3C">
      <w:pPr>
        <w:ind w:right="-720"/>
      </w:pPr>
    </w:p>
    <w:sectPr w:rsidR="006E7DDC" w:rsidSect="0046114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Book Antiqua">
    <w:panose1 w:val="0204060205030503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DDC"/>
    <w:rsid w:val="00190E05"/>
    <w:rsid w:val="002604FE"/>
    <w:rsid w:val="00453CF7"/>
    <w:rsid w:val="00455122"/>
    <w:rsid w:val="00461144"/>
    <w:rsid w:val="0068645B"/>
    <w:rsid w:val="006E7DDC"/>
    <w:rsid w:val="00731D7B"/>
    <w:rsid w:val="00797D2A"/>
    <w:rsid w:val="00AA4B3C"/>
    <w:rsid w:val="00B70F12"/>
    <w:rsid w:val="00E4608B"/>
    <w:rsid w:val="00EA6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5"/>
    <o:shapelayout v:ext="edit">
      <o:idmap v:ext="edit" data="1"/>
    </o:shapelayout>
  </w:shapeDefaults>
  <w:decimalSymbol w:val="."/>
  <w:listSeparator w:val=","/>
  <w14:docId w14:val="35B379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DDC"/>
    <w:rPr>
      <w:rFonts w:ascii="Times New Roman" w:eastAsia="Times New Roman" w:hAnsi="Times New Roman" w:cs="Times New Roman"/>
    </w:rPr>
  </w:style>
  <w:style w:type="paragraph" w:styleId="Heading1">
    <w:name w:val="heading 1"/>
    <w:basedOn w:val="Normal"/>
    <w:next w:val="Normal"/>
    <w:link w:val="Heading1Char"/>
    <w:qFormat/>
    <w:rsid w:val="006E7DDC"/>
    <w:pPr>
      <w:keepNext/>
      <w:spacing w:beforeLines="100" w:before="240" w:afterLines="50" w:after="120"/>
      <w:outlineLvl w:val="0"/>
    </w:pPr>
    <w:rPr>
      <w:rFonts w:ascii="Arial" w:hAnsi="Arial" w:cs="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D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7DDC"/>
    <w:rPr>
      <w:rFonts w:ascii="Lucida Grande" w:eastAsia="Times New Roman" w:hAnsi="Lucida Grande" w:cs="Lucida Grande"/>
      <w:sz w:val="18"/>
      <w:szCs w:val="18"/>
    </w:rPr>
  </w:style>
  <w:style w:type="character" w:customStyle="1" w:styleId="Heading1Char">
    <w:name w:val="Heading 1 Char"/>
    <w:basedOn w:val="DefaultParagraphFont"/>
    <w:link w:val="Heading1"/>
    <w:rsid w:val="006E7DDC"/>
    <w:rPr>
      <w:rFonts w:ascii="Arial" w:eastAsia="Times New Roman" w:hAnsi="Arial" w:cs="Arial"/>
      <w:i/>
      <w:szCs w:val="22"/>
    </w:rPr>
  </w:style>
  <w:style w:type="character" w:styleId="PlaceholderText">
    <w:name w:val="Placeholder Text"/>
    <w:basedOn w:val="DefaultParagraphFont"/>
    <w:uiPriority w:val="99"/>
    <w:semiHidden/>
    <w:rsid w:val="00B70F12"/>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DDC"/>
    <w:rPr>
      <w:rFonts w:ascii="Times New Roman" w:eastAsia="Times New Roman" w:hAnsi="Times New Roman" w:cs="Times New Roman"/>
    </w:rPr>
  </w:style>
  <w:style w:type="paragraph" w:styleId="Heading1">
    <w:name w:val="heading 1"/>
    <w:basedOn w:val="Normal"/>
    <w:next w:val="Normal"/>
    <w:link w:val="Heading1Char"/>
    <w:qFormat/>
    <w:rsid w:val="006E7DDC"/>
    <w:pPr>
      <w:keepNext/>
      <w:spacing w:beforeLines="100" w:before="240" w:afterLines="50" w:after="120"/>
      <w:outlineLvl w:val="0"/>
    </w:pPr>
    <w:rPr>
      <w:rFonts w:ascii="Arial" w:hAnsi="Arial" w:cs="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D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7DDC"/>
    <w:rPr>
      <w:rFonts w:ascii="Lucida Grande" w:eastAsia="Times New Roman" w:hAnsi="Lucida Grande" w:cs="Lucida Grande"/>
      <w:sz w:val="18"/>
      <w:szCs w:val="18"/>
    </w:rPr>
  </w:style>
  <w:style w:type="character" w:customStyle="1" w:styleId="Heading1Char">
    <w:name w:val="Heading 1 Char"/>
    <w:basedOn w:val="DefaultParagraphFont"/>
    <w:link w:val="Heading1"/>
    <w:rsid w:val="006E7DDC"/>
    <w:rPr>
      <w:rFonts w:ascii="Arial" w:eastAsia="Times New Roman" w:hAnsi="Arial" w:cs="Arial"/>
      <w:i/>
      <w:szCs w:val="22"/>
    </w:rPr>
  </w:style>
  <w:style w:type="character" w:styleId="PlaceholderText">
    <w:name w:val="Placeholder Text"/>
    <w:basedOn w:val="DefaultParagraphFont"/>
    <w:uiPriority w:val="99"/>
    <w:semiHidden/>
    <w:rsid w:val="00B70F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20" Type="http://schemas.openxmlformats.org/officeDocument/2006/relationships/image" Target="media/image7.emf"/><Relationship Id="rId21" Type="http://schemas.openxmlformats.org/officeDocument/2006/relationships/oleObject" Target="embeddings/oleObject6.bin"/><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3.wmf"/><Relationship Id="rId11" Type="http://schemas.openxmlformats.org/officeDocument/2006/relationships/oleObject" Target="embeddings/oleObject2.bin"/><Relationship Id="rId12" Type="http://schemas.openxmlformats.org/officeDocument/2006/relationships/image" Target="media/image4.wmf"/><Relationship Id="rId13" Type="http://schemas.openxmlformats.org/officeDocument/2006/relationships/oleObject" Target="embeddings/oleObject3.bin"/><Relationship Id="rId14" Type="http://schemas.openxmlformats.org/officeDocument/2006/relationships/image" Target="media/image5.emf"/><Relationship Id="rId15" Type="http://schemas.openxmlformats.org/officeDocument/2006/relationships/oleObject" Target="embeddings/oleObject4.bin"/><Relationship Id="rId16" Type="http://schemas.openxmlformats.org/officeDocument/2006/relationships/chart" Target="charts/chart2.xml"/><Relationship Id="rId17" Type="http://schemas.openxmlformats.org/officeDocument/2006/relationships/chart" Target="charts/chart3.xml"/><Relationship Id="rId18" Type="http://schemas.openxmlformats.org/officeDocument/2006/relationships/image" Target="media/image6.emf"/><Relationship Id="rId19" Type="http://schemas.openxmlformats.org/officeDocument/2006/relationships/oleObject" Target="embeddings/oleObject5.bin"/><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wmf"/><Relationship Id="rId7" Type="http://schemas.openxmlformats.org/officeDocument/2006/relationships/chart" Target="charts/chart1.xml"/><Relationship Id="rId8" Type="http://schemas.openxmlformats.org/officeDocument/2006/relationships/image" Target="media/image2.wmf"/></Relationships>
</file>

<file path=word/charts/_rels/chart1.xml.rels><?xml version="1.0" encoding="UTF-8" standalone="yes"?>
<Relationships xmlns="http://schemas.openxmlformats.org/package/2006/relationships"><Relationship Id="rId1" Type="http://schemas.openxmlformats.org/officeDocument/2006/relationships/oleObject" Target="file:///E:\MedBioIIIEd\Figures-ProportionalHazard-Median.xls" TargetMode="External"/><Relationship Id="rId2"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1" Type="http://schemas.openxmlformats.org/officeDocument/2006/relationships/oleObject" Target="file:///J:\MedBioIIIEd\Figures-ProportionalHazard-Median.xls" TargetMode="External"/><Relationship Id="rId2"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1" Type="http://schemas.openxmlformats.org/officeDocument/2006/relationships/oleObject" Target="file:///J:\MedBioIIIEd\Figures-ProportionalHazard-Median.xls" TargetMode="External"/><Relationship Id="rId2"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8861082224526"/>
          <c:y val="0.12376267540096"/>
          <c:w val="0.76265940630471"/>
          <c:h val="0.663367940149144"/>
        </c:manualLayout>
      </c:layout>
      <c:scatterChart>
        <c:scatterStyle val="smoothMarker"/>
        <c:varyColors val="0"/>
        <c:ser>
          <c:idx val="0"/>
          <c:order val="0"/>
          <c:spPr>
            <a:ln w="12700">
              <a:solidFill>
                <a:srgbClr val="000000"/>
              </a:solidFill>
              <a:prstDash val="solid"/>
            </a:ln>
          </c:spPr>
          <c:marker>
            <c:symbol val="none"/>
          </c:marker>
          <c:xVal>
            <c:numRef>
              <c:f>'[Figures-ProportionalHazard-Median.xls]Sheet1'!$A$32:$A$57</c:f>
              <c:numCache>
                <c:formatCode>General</c:formatCode>
                <c:ptCount val="26"/>
                <c:pt idx="0">
                  <c:v>0.0</c:v>
                </c:pt>
                <c:pt idx="1">
                  <c:v>0.5</c:v>
                </c:pt>
                <c:pt idx="2">
                  <c:v>1.0</c:v>
                </c:pt>
                <c:pt idx="3">
                  <c:v>1.5</c:v>
                </c:pt>
                <c:pt idx="4">
                  <c:v>2.0</c:v>
                </c:pt>
                <c:pt idx="5">
                  <c:v>2.5</c:v>
                </c:pt>
                <c:pt idx="6">
                  <c:v>3.0</c:v>
                </c:pt>
                <c:pt idx="7">
                  <c:v>3.5</c:v>
                </c:pt>
                <c:pt idx="8">
                  <c:v>4.0</c:v>
                </c:pt>
                <c:pt idx="9">
                  <c:v>4.5</c:v>
                </c:pt>
                <c:pt idx="10">
                  <c:v>5.0</c:v>
                </c:pt>
                <c:pt idx="11">
                  <c:v>5.5</c:v>
                </c:pt>
                <c:pt idx="12">
                  <c:v>6.0</c:v>
                </c:pt>
                <c:pt idx="13">
                  <c:v>7.0</c:v>
                </c:pt>
                <c:pt idx="14">
                  <c:v>5.0</c:v>
                </c:pt>
                <c:pt idx="15">
                  <c:v>5.0</c:v>
                </c:pt>
                <c:pt idx="16">
                  <c:v>0.0</c:v>
                </c:pt>
                <c:pt idx="17">
                  <c:v>5.0</c:v>
                </c:pt>
                <c:pt idx="18">
                  <c:v>0.0</c:v>
                </c:pt>
                <c:pt idx="19">
                  <c:v>0.4</c:v>
                </c:pt>
                <c:pt idx="20">
                  <c:v>0.4</c:v>
                </c:pt>
                <c:pt idx="21">
                  <c:v>0.4</c:v>
                </c:pt>
                <c:pt idx="22">
                  <c:v>2.85</c:v>
                </c:pt>
                <c:pt idx="23">
                  <c:v>2.85</c:v>
                </c:pt>
                <c:pt idx="24">
                  <c:v>0.0</c:v>
                </c:pt>
                <c:pt idx="25">
                  <c:v>2.85</c:v>
                </c:pt>
              </c:numCache>
            </c:numRef>
          </c:xVal>
          <c:yVal>
            <c:numRef>
              <c:f>'[Figures-ProportionalHazard-Median.xls]Sheet1'!$B$32:$B$57</c:f>
              <c:numCache>
                <c:formatCode>General</c:formatCode>
                <c:ptCount val="26"/>
                <c:pt idx="0">
                  <c:v>100.0</c:v>
                </c:pt>
                <c:pt idx="1">
                  <c:v>78.0</c:v>
                </c:pt>
                <c:pt idx="2">
                  <c:v>76.0</c:v>
                </c:pt>
                <c:pt idx="3">
                  <c:v>74.0</c:v>
                </c:pt>
                <c:pt idx="4">
                  <c:v>70.0</c:v>
                </c:pt>
                <c:pt idx="5">
                  <c:v>53.0</c:v>
                </c:pt>
                <c:pt idx="6">
                  <c:v>50.0</c:v>
                </c:pt>
                <c:pt idx="7">
                  <c:v>47.0</c:v>
                </c:pt>
                <c:pt idx="8">
                  <c:v>40.0</c:v>
                </c:pt>
                <c:pt idx="9">
                  <c:v>38.0</c:v>
                </c:pt>
                <c:pt idx="10">
                  <c:v>35.0</c:v>
                </c:pt>
                <c:pt idx="11">
                  <c:v>29.0</c:v>
                </c:pt>
                <c:pt idx="12">
                  <c:v>27.0</c:v>
                </c:pt>
                <c:pt idx="13">
                  <c:v>20.0</c:v>
                </c:pt>
              </c:numCache>
            </c:numRef>
          </c:yVal>
          <c:smooth val="1"/>
        </c:ser>
        <c:ser>
          <c:idx val="1"/>
          <c:order val="1"/>
          <c:spPr>
            <a:ln w="25400">
              <a:solidFill>
                <a:srgbClr val="000000"/>
              </a:solidFill>
              <a:prstDash val="solid"/>
            </a:ln>
          </c:spPr>
          <c:marker>
            <c:symbol val="none"/>
          </c:marker>
          <c:xVal>
            <c:numRef>
              <c:f>'[Figures-ProportionalHazard-Median.xls]Sheet1'!$A$32:$A$57</c:f>
              <c:numCache>
                <c:formatCode>General</c:formatCode>
                <c:ptCount val="26"/>
                <c:pt idx="0">
                  <c:v>0.0</c:v>
                </c:pt>
                <c:pt idx="1">
                  <c:v>0.5</c:v>
                </c:pt>
                <c:pt idx="2">
                  <c:v>1.0</c:v>
                </c:pt>
                <c:pt idx="3">
                  <c:v>1.5</c:v>
                </c:pt>
                <c:pt idx="4">
                  <c:v>2.0</c:v>
                </c:pt>
                <c:pt idx="5">
                  <c:v>2.5</c:v>
                </c:pt>
                <c:pt idx="6">
                  <c:v>3.0</c:v>
                </c:pt>
                <c:pt idx="7">
                  <c:v>3.5</c:v>
                </c:pt>
                <c:pt idx="8">
                  <c:v>4.0</c:v>
                </c:pt>
                <c:pt idx="9">
                  <c:v>4.5</c:v>
                </c:pt>
                <c:pt idx="10">
                  <c:v>5.0</c:v>
                </c:pt>
                <c:pt idx="11">
                  <c:v>5.5</c:v>
                </c:pt>
                <c:pt idx="12">
                  <c:v>6.0</c:v>
                </c:pt>
                <c:pt idx="13">
                  <c:v>7.0</c:v>
                </c:pt>
                <c:pt idx="14">
                  <c:v>5.0</c:v>
                </c:pt>
                <c:pt idx="15">
                  <c:v>5.0</c:v>
                </c:pt>
                <c:pt idx="16">
                  <c:v>0.0</c:v>
                </c:pt>
                <c:pt idx="17">
                  <c:v>5.0</c:v>
                </c:pt>
                <c:pt idx="18">
                  <c:v>0.0</c:v>
                </c:pt>
                <c:pt idx="19">
                  <c:v>0.4</c:v>
                </c:pt>
                <c:pt idx="20">
                  <c:v>0.4</c:v>
                </c:pt>
                <c:pt idx="21">
                  <c:v>0.4</c:v>
                </c:pt>
                <c:pt idx="22">
                  <c:v>2.85</c:v>
                </c:pt>
                <c:pt idx="23">
                  <c:v>2.85</c:v>
                </c:pt>
                <c:pt idx="24">
                  <c:v>0.0</c:v>
                </c:pt>
                <c:pt idx="25">
                  <c:v>2.85</c:v>
                </c:pt>
              </c:numCache>
            </c:numRef>
          </c:xVal>
          <c:yVal>
            <c:numRef>
              <c:f>'[Figures-ProportionalHazard-Median.xls]Sheet1'!$C$32:$C$57</c:f>
              <c:numCache>
                <c:formatCode>General</c:formatCode>
                <c:ptCount val="26"/>
                <c:pt idx="14">
                  <c:v>0.0</c:v>
                </c:pt>
                <c:pt idx="15">
                  <c:v>34.0</c:v>
                </c:pt>
              </c:numCache>
            </c:numRef>
          </c:yVal>
          <c:smooth val="1"/>
        </c:ser>
        <c:ser>
          <c:idx val="2"/>
          <c:order val="2"/>
          <c:spPr>
            <a:ln w="25400">
              <a:solidFill>
                <a:srgbClr val="000000"/>
              </a:solidFill>
              <a:prstDash val="solid"/>
            </a:ln>
          </c:spPr>
          <c:marker>
            <c:symbol val="none"/>
          </c:marker>
          <c:xVal>
            <c:numRef>
              <c:f>'[Figures-ProportionalHazard-Median.xls]Sheet1'!$A$32:$A$57</c:f>
              <c:numCache>
                <c:formatCode>General</c:formatCode>
                <c:ptCount val="26"/>
                <c:pt idx="0">
                  <c:v>0.0</c:v>
                </c:pt>
                <c:pt idx="1">
                  <c:v>0.5</c:v>
                </c:pt>
                <c:pt idx="2">
                  <c:v>1.0</c:v>
                </c:pt>
                <c:pt idx="3">
                  <c:v>1.5</c:v>
                </c:pt>
                <c:pt idx="4">
                  <c:v>2.0</c:v>
                </c:pt>
                <c:pt idx="5">
                  <c:v>2.5</c:v>
                </c:pt>
                <c:pt idx="6">
                  <c:v>3.0</c:v>
                </c:pt>
                <c:pt idx="7">
                  <c:v>3.5</c:v>
                </c:pt>
                <c:pt idx="8">
                  <c:v>4.0</c:v>
                </c:pt>
                <c:pt idx="9">
                  <c:v>4.5</c:v>
                </c:pt>
                <c:pt idx="10">
                  <c:v>5.0</c:v>
                </c:pt>
                <c:pt idx="11">
                  <c:v>5.5</c:v>
                </c:pt>
                <c:pt idx="12">
                  <c:v>6.0</c:v>
                </c:pt>
                <c:pt idx="13">
                  <c:v>7.0</c:v>
                </c:pt>
                <c:pt idx="14">
                  <c:v>5.0</c:v>
                </c:pt>
                <c:pt idx="15">
                  <c:v>5.0</c:v>
                </c:pt>
                <c:pt idx="16">
                  <c:v>0.0</c:v>
                </c:pt>
                <c:pt idx="17">
                  <c:v>5.0</c:v>
                </c:pt>
                <c:pt idx="18">
                  <c:v>0.0</c:v>
                </c:pt>
                <c:pt idx="19">
                  <c:v>0.4</c:v>
                </c:pt>
                <c:pt idx="20">
                  <c:v>0.4</c:v>
                </c:pt>
                <c:pt idx="21">
                  <c:v>0.4</c:v>
                </c:pt>
                <c:pt idx="22">
                  <c:v>2.85</c:v>
                </c:pt>
                <c:pt idx="23">
                  <c:v>2.85</c:v>
                </c:pt>
                <c:pt idx="24">
                  <c:v>0.0</c:v>
                </c:pt>
                <c:pt idx="25">
                  <c:v>2.85</c:v>
                </c:pt>
              </c:numCache>
            </c:numRef>
          </c:xVal>
          <c:yVal>
            <c:numRef>
              <c:f>'[Figures-ProportionalHazard-Median.xls]Sheet1'!$D$32:$D$57</c:f>
              <c:numCache>
                <c:formatCode>General</c:formatCode>
                <c:ptCount val="26"/>
                <c:pt idx="16">
                  <c:v>34.0</c:v>
                </c:pt>
                <c:pt idx="17">
                  <c:v>34.0</c:v>
                </c:pt>
              </c:numCache>
            </c:numRef>
          </c:yVal>
          <c:smooth val="1"/>
        </c:ser>
        <c:ser>
          <c:idx val="3"/>
          <c:order val="3"/>
          <c:spPr>
            <a:ln w="12700">
              <a:solidFill>
                <a:srgbClr val="000000"/>
              </a:solidFill>
              <a:prstDash val="solid"/>
            </a:ln>
          </c:spPr>
          <c:marker>
            <c:symbol val="none"/>
          </c:marker>
          <c:xVal>
            <c:numRef>
              <c:f>'[Figures-ProportionalHazard-Median.xls]Sheet1'!$A$32:$A$57</c:f>
              <c:numCache>
                <c:formatCode>General</c:formatCode>
                <c:ptCount val="26"/>
                <c:pt idx="0">
                  <c:v>0.0</c:v>
                </c:pt>
                <c:pt idx="1">
                  <c:v>0.5</c:v>
                </c:pt>
                <c:pt idx="2">
                  <c:v>1.0</c:v>
                </c:pt>
                <c:pt idx="3">
                  <c:v>1.5</c:v>
                </c:pt>
                <c:pt idx="4">
                  <c:v>2.0</c:v>
                </c:pt>
                <c:pt idx="5">
                  <c:v>2.5</c:v>
                </c:pt>
                <c:pt idx="6">
                  <c:v>3.0</c:v>
                </c:pt>
                <c:pt idx="7">
                  <c:v>3.5</c:v>
                </c:pt>
                <c:pt idx="8">
                  <c:v>4.0</c:v>
                </c:pt>
                <c:pt idx="9">
                  <c:v>4.5</c:v>
                </c:pt>
                <c:pt idx="10">
                  <c:v>5.0</c:v>
                </c:pt>
                <c:pt idx="11">
                  <c:v>5.5</c:v>
                </c:pt>
                <c:pt idx="12">
                  <c:v>6.0</c:v>
                </c:pt>
                <c:pt idx="13">
                  <c:v>7.0</c:v>
                </c:pt>
                <c:pt idx="14">
                  <c:v>5.0</c:v>
                </c:pt>
                <c:pt idx="15">
                  <c:v>5.0</c:v>
                </c:pt>
                <c:pt idx="16">
                  <c:v>0.0</c:v>
                </c:pt>
                <c:pt idx="17">
                  <c:v>5.0</c:v>
                </c:pt>
                <c:pt idx="18">
                  <c:v>0.0</c:v>
                </c:pt>
                <c:pt idx="19">
                  <c:v>0.4</c:v>
                </c:pt>
                <c:pt idx="20">
                  <c:v>0.4</c:v>
                </c:pt>
                <c:pt idx="21">
                  <c:v>0.4</c:v>
                </c:pt>
                <c:pt idx="22">
                  <c:v>2.85</c:v>
                </c:pt>
                <c:pt idx="23">
                  <c:v>2.85</c:v>
                </c:pt>
                <c:pt idx="24">
                  <c:v>0.0</c:v>
                </c:pt>
                <c:pt idx="25">
                  <c:v>2.85</c:v>
                </c:pt>
              </c:numCache>
            </c:numRef>
          </c:xVal>
          <c:yVal>
            <c:numRef>
              <c:f>'[Figures-ProportionalHazard-Median.xls]Sheet1'!$E$32:$E$57</c:f>
              <c:numCache>
                <c:formatCode>General</c:formatCode>
                <c:ptCount val="26"/>
                <c:pt idx="18">
                  <c:v>80.0</c:v>
                </c:pt>
                <c:pt idx="19">
                  <c:v>80.0</c:v>
                </c:pt>
              </c:numCache>
            </c:numRef>
          </c:yVal>
          <c:smooth val="1"/>
        </c:ser>
        <c:ser>
          <c:idx val="4"/>
          <c:order val="4"/>
          <c:spPr>
            <a:ln w="12700">
              <a:solidFill>
                <a:srgbClr val="000000"/>
              </a:solidFill>
              <a:prstDash val="solid"/>
            </a:ln>
          </c:spPr>
          <c:marker>
            <c:symbol val="none"/>
          </c:marker>
          <c:xVal>
            <c:numRef>
              <c:f>'[Figures-ProportionalHazard-Median.xls]Sheet1'!$A$32:$A$57</c:f>
              <c:numCache>
                <c:formatCode>General</c:formatCode>
                <c:ptCount val="26"/>
                <c:pt idx="0">
                  <c:v>0.0</c:v>
                </c:pt>
                <c:pt idx="1">
                  <c:v>0.5</c:v>
                </c:pt>
                <c:pt idx="2">
                  <c:v>1.0</c:v>
                </c:pt>
                <c:pt idx="3">
                  <c:v>1.5</c:v>
                </c:pt>
                <c:pt idx="4">
                  <c:v>2.0</c:v>
                </c:pt>
                <c:pt idx="5">
                  <c:v>2.5</c:v>
                </c:pt>
                <c:pt idx="6">
                  <c:v>3.0</c:v>
                </c:pt>
                <c:pt idx="7">
                  <c:v>3.5</c:v>
                </c:pt>
                <c:pt idx="8">
                  <c:v>4.0</c:v>
                </c:pt>
                <c:pt idx="9">
                  <c:v>4.5</c:v>
                </c:pt>
                <c:pt idx="10">
                  <c:v>5.0</c:v>
                </c:pt>
                <c:pt idx="11">
                  <c:v>5.5</c:v>
                </c:pt>
                <c:pt idx="12">
                  <c:v>6.0</c:v>
                </c:pt>
                <c:pt idx="13">
                  <c:v>7.0</c:v>
                </c:pt>
                <c:pt idx="14">
                  <c:v>5.0</c:v>
                </c:pt>
                <c:pt idx="15">
                  <c:v>5.0</c:v>
                </c:pt>
                <c:pt idx="16">
                  <c:v>0.0</c:v>
                </c:pt>
                <c:pt idx="17">
                  <c:v>5.0</c:v>
                </c:pt>
                <c:pt idx="18">
                  <c:v>0.0</c:v>
                </c:pt>
                <c:pt idx="19">
                  <c:v>0.4</c:v>
                </c:pt>
                <c:pt idx="20">
                  <c:v>0.4</c:v>
                </c:pt>
                <c:pt idx="21">
                  <c:v>0.4</c:v>
                </c:pt>
                <c:pt idx="22">
                  <c:v>2.85</c:v>
                </c:pt>
                <c:pt idx="23">
                  <c:v>2.85</c:v>
                </c:pt>
                <c:pt idx="24">
                  <c:v>0.0</c:v>
                </c:pt>
                <c:pt idx="25">
                  <c:v>2.85</c:v>
                </c:pt>
              </c:numCache>
            </c:numRef>
          </c:xVal>
          <c:yVal>
            <c:numRef>
              <c:f>'[Figures-ProportionalHazard-Median.xls]Sheet1'!$F$32:$F$57</c:f>
              <c:numCache>
                <c:formatCode>General</c:formatCode>
                <c:ptCount val="26"/>
                <c:pt idx="20">
                  <c:v>0.0</c:v>
                </c:pt>
                <c:pt idx="21">
                  <c:v>80.0</c:v>
                </c:pt>
              </c:numCache>
            </c:numRef>
          </c:yVal>
          <c:smooth val="1"/>
        </c:ser>
        <c:ser>
          <c:idx val="5"/>
          <c:order val="5"/>
          <c:spPr>
            <a:ln w="12700">
              <a:solidFill>
                <a:srgbClr val="000000"/>
              </a:solidFill>
              <a:prstDash val="sysDash"/>
            </a:ln>
          </c:spPr>
          <c:marker>
            <c:symbol val="none"/>
          </c:marker>
          <c:xVal>
            <c:numRef>
              <c:f>'[Figures-ProportionalHazard-Median.xls]Sheet1'!$A$32:$A$57</c:f>
              <c:numCache>
                <c:formatCode>General</c:formatCode>
                <c:ptCount val="26"/>
                <c:pt idx="0">
                  <c:v>0.0</c:v>
                </c:pt>
                <c:pt idx="1">
                  <c:v>0.5</c:v>
                </c:pt>
                <c:pt idx="2">
                  <c:v>1.0</c:v>
                </c:pt>
                <c:pt idx="3">
                  <c:v>1.5</c:v>
                </c:pt>
                <c:pt idx="4">
                  <c:v>2.0</c:v>
                </c:pt>
                <c:pt idx="5">
                  <c:v>2.5</c:v>
                </c:pt>
                <c:pt idx="6">
                  <c:v>3.0</c:v>
                </c:pt>
                <c:pt idx="7">
                  <c:v>3.5</c:v>
                </c:pt>
                <c:pt idx="8">
                  <c:v>4.0</c:v>
                </c:pt>
                <c:pt idx="9">
                  <c:v>4.5</c:v>
                </c:pt>
                <c:pt idx="10">
                  <c:v>5.0</c:v>
                </c:pt>
                <c:pt idx="11">
                  <c:v>5.5</c:v>
                </c:pt>
                <c:pt idx="12">
                  <c:v>6.0</c:v>
                </c:pt>
                <c:pt idx="13">
                  <c:v>7.0</c:v>
                </c:pt>
                <c:pt idx="14">
                  <c:v>5.0</c:v>
                </c:pt>
                <c:pt idx="15">
                  <c:v>5.0</c:v>
                </c:pt>
                <c:pt idx="16">
                  <c:v>0.0</c:v>
                </c:pt>
                <c:pt idx="17">
                  <c:v>5.0</c:v>
                </c:pt>
                <c:pt idx="18">
                  <c:v>0.0</c:v>
                </c:pt>
                <c:pt idx="19">
                  <c:v>0.4</c:v>
                </c:pt>
                <c:pt idx="20">
                  <c:v>0.4</c:v>
                </c:pt>
                <c:pt idx="21">
                  <c:v>0.4</c:v>
                </c:pt>
                <c:pt idx="22">
                  <c:v>2.85</c:v>
                </c:pt>
                <c:pt idx="23">
                  <c:v>2.85</c:v>
                </c:pt>
                <c:pt idx="24">
                  <c:v>0.0</c:v>
                </c:pt>
                <c:pt idx="25">
                  <c:v>2.85</c:v>
                </c:pt>
              </c:numCache>
            </c:numRef>
          </c:xVal>
          <c:yVal>
            <c:numRef>
              <c:f>'[Figures-ProportionalHazard-Median.xls]Sheet1'!$G$32:$G$57</c:f>
              <c:numCache>
                <c:formatCode>General</c:formatCode>
                <c:ptCount val="26"/>
                <c:pt idx="22">
                  <c:v>0.0</c:v>
                </c:pt>
                <c:pt idx="23">
                  <c:v>50.0</c:v>
                </c:pt>
              </c:numCache>
            </c:numRef>
          </c:yVal>
          <c:smooth val="1"/>
        </c:ser>
        <c:ser>
          <c:idx val="6"/>
          <c:order val="6"/>
          <c:spPr>
            <a:ln w="12700">
              <a:solidFill>
                <a:srgbClr val="000000"/>
              </a:solidFill>
              <a:prstDash val="sysDash"/>
            </a:ln>
          </c:spPr>
          <c:marker>
            <c:symbol val="none"/>
          </c:marker>
          <c:xVal>
            <c:numRef>
              <c:f>'[Figures-ProportionalHazard-Median.xls]Sheet1'!$A$32:$A$57</c:f>
              <c:numCache>
                <c:formatCode>General</c:formatCode>
                <c:ptCount val="26"/>
                <c:pt idx="0">
                  <c:v>0.0</c:v>
                </c:pt>
                <c:pt idx="1">
                  <c:v>0.5</c:v>
                </c:pt>
                <c:pt idx="2">
                  <c:v>1.0</c:v>
                </c:pt>
                <c:pt idx="3">
                  <c:v>1.5</c:v>
                </c:pt>
                <c:pt idx="4">
                  <c:v>2.0</c:v>
                </c:pt>
                <c:pt idx="5">
                  <c:v>2.5</c:v>
                </c:pt>
                <c:pt idx="6">
                  <c:v>3.0</c:v>
                </c:pt>
                <c:pt idx="7">
                  <c:v>3.5</c:v>
                </c:pt>
                <c:pt idx="8">
                  <c:v>4.0</c:v>
                </c:pt>
                <c:pt idx="9">
                  <c:v>4.5</c:v>
                </c:pt>
                <c:pt idx="10">
                  <c:v>5.0</c:v>
                </c:pt>
                <c:pt idx="11">
                  <c:v>5.5</c:v>
                </c:pt>
                <c:pt idx="12">
                  <c:v>6.0</c:v>
                </c:pt>
                <c:pt idx="13">
                  <c:v>7.0</c:v>
                </c:pt>
                <c:pt idx="14">
                  <c:v>5.0</c:v>
                </c:pt>
                <c:pt idx="15">
                  <c:v>5.0</c:v>
                </c:pt>
                <c:pt idx="16">
                  <c:v>0.0</c:v>
                </c:pt>
                <c:pt idx="17">
                  <c:v>5.0</c:v>
                </c:pt>
                <c:pt idx="18">
                  <c:v>0.0</c:v>
                </c:pt>
                <c:pt idx="19">
                  <c:v>0.4</c:v>
                </c:pt>
                <c:pt idx="20">
                  <c:v>0.4</c:v>
                </c:pt>
                <c:pt idx="21">
                  <c:v>0.4</c:v>
                </c:pt>
                <c:pt idx="22">
                  <c:v>2.85</c:v>
                </c:pt>
                <c:pt idx="23">
                  <c:v>2.85</c:v>
                </c:pt>
                <c:pt idx="24">
                  <c:v>0.0</c:v>
                </c:pt>
                <c:pt idx="25">
                  <c:v>2.85</c:v>
                </c:pt>
              </c:numCache>
            </c:numRef>
          </c:xVal>
          <c:yVal>
            <c:numRef>
              <c:f>'[Figures-ProportionalHazard-Median.xls]Sheet1'!$H$32:$H$57</c:f>
              <c:numCache>
                <c:formatCode>General</c:formatCode>
                <c:ptCount val="26"/>
                <c:pt idx="24">
                  <c:v>50.0</c:v>
                </c:pt>
                <c:pt idx="25">
                  <c:v>50.0</c:v>
                </c:pt>
              </c:numCache>
            </c:numRef>
          </c:yVal>
          <c:smooth val="1"/>
        </c:ser>
        <c:dLbls>
          <c:showLegendKey val="0"/>
          <c:showVal val="0"/>
          <c:showCatName val="0"/>
          <c:showSerName val="0"/>
          <c:showPercent val="0"/>
          <c:showBubbleSize val="0"/>
        </c:dLbls>
        <c:axId val="543251464"/>
        <c:axId val="543258680"/>
      </c:scatterChart>
      <c:valAx>
        <c:axId val="543251464"/>
        <c:scaling>
          <c:orientation val="minMax"/>
          <c:max val="7.0"/>
          <c:min val="0.0"/>
        </c:scaling>
        <c:delete val="0"/>
        <c:axPos val="b"/>
        <c:title>
          <c:tx>
            <c:rich>
              <a:bodyPr/>
              <a:lstStyle/>
              <a:p>
                <a:pPr>
                  <a:defRPr sz="800" b="0" i="0" u="none" strike="noStrike" baseline="0">
                    <a:solidFill>
                      <a:srgbClr val="000000"/>
                    </a:solidFill>
                    <a:latin typeface="Arial"/>
                    <a:ea typeface="Arial"/>
                    <a:cs typeface="Arial"/>
                  </a:defRPr>
                </a:pPr>
                <a:r>
                  <a:rPr lang="en-US"/>
                  <a:t>Year of survival</a:t>
                </a:r>
              </a:p>
            </c:rich>
          </c:tx>
          <c:layout>
            <c:manualLayout>
              <c:xMode val="edge"/>
              <c:yMode val="edge"/>
              <c:x val="0.424051297385295"/>
              <c:y val="0.87623970271042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25" b="0" i="0" u="none" strike="noStrike" baseline="0">
                <a:solidFill>
                  <a:srgbClr val="000000"/>
                </a:solidFill>
                <a:latin typeface="Arial"/>
                <a:ea typeface="Arial"/>
                <a:cs typeface="Arial"/>
              </a:defRPr>
            </a:pPr>
            <a:endParaRPr lang="en-US"/>
          </a:p>
        </c:txPr>
        <c:crossAx val="543258680"/>
        <c:crosses val="autoZero"/>
        <c:crossBetween val="midCat"/>
        <c:majorUnit val="1.0"/>
      </c:valAx>
      <c:valAx>
        <c:axId val="543258680"/>
        <c:scaling>
          <c:orientation val="minMax"/>
          <c:max val="100.0"/>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25" b="0" i="0" u="none" strike="noStrike" baseline="0">
                <a:solidFill>
                  <a:srgbClr val="000000"/>
                </a:solidFill>
                <a:latin typeface="Arial"/>
                <a:ea typeface="Arial"/>
                <a:cs typeface="Arial"/>
              </a:defRPr>
            </a:pPr>
            <a:endParaRPr lang="en-US"/>
          </a:p>
        </c:txPr>
        <c:crossAx val="543251464"/>
        <c:crosses val="autoZero"/>
        <c:crossBetween val="midCat"/>
        <c:majorUnit val="10.0"/>
      </c:valAx>
      <c:spPr>
        <a:noFill/>
        <a:ln w="12700">
          <a:solidFill>
            <a:srgbClr val="808080"/>
          </a:solidFill>
          <a:prstDash val="solid"/>
        </a:ln>
      </c:spPr>
    </c:plotArea>
    <c:plotVisOnly val="1"/>
    <c:dispBlanksAs val="gap"/>
    <c:showDLblsOverMax val="0"/>
  </c:chart>
  <c:spPr>
    <a:solidFill>
      <a:srgbClr val="FFFFFF"/>
    </a:solidFill>
    <a:ln w="9525">
      <a:noFill/>
    </a:ln>
  </c:spPr>
  <c:txPr>
    <a:bodyPr/>
    <a:lstStyle/>
    <a:p>
      <a:pPr>
        <a:defRPr sz="825"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4256095346572"/>
          <c:y val="0.085972850678733"/>
          <c:w val="0.833335892467241"/>
          <c:h val="0.760180995475113"/>
        </c:manualLayout>
      </c:layout>
      <c:scatterChart>
        <c:scatterStyle val="smoothMarker"/>
        <c:varyColors val="0"/>
        <c:ser>
          <c:idx val="0"/>
          <c:order val="0"/>
          <c:spPr>
            <a:ln w="25400">
              <a:solidFill>
                <a:srgbClr val="000000"/>
              </a:solidFill>
              <a:prstDash val="solid"/>
            </a:ln>
          </c:spPr>
          <c:marker>
            <c:symbol val="none"/>
          </c:marker>
          <c:xVal>
            <c:numRef>
              <c:f>'[Figures-ProportionalHazard-Median.xls]Sheet1'!$B$3:$B$12</c:f>
              <c:numCache>
                <c:formatCode>General</c:formatCode>
                <c:ptCount val="10"/>
                <c:pt idx="0">
                  <c:v>1.0</c:v>
                </c:pt>
                <c:pt idx="1">
                  <c:v>2.0</c:v>
                </c:pt>
                <c:pt idx="2">
                  <c:v>3.0</c:v>
                </c:pt>
                <c:pt idx="3">
                  <c:v>4.0</c:v>
                </c:pt>
                <c:pt idx="4">
                  <c:v>5.0</c:v>
                </c:pt>
                <c:pt idx="5">
                  <c:v>6.0</c:v>
                </c:pt>
                <c:pt idx="6">
                  <c:v>7.0</c:v>
                </c:pt>
                <c:pt idx="7">
                  <c:v>8.0</c:v>
                </c:pt>
                <c:pt idx="8">
                  <c:v>9.0</c:v>
                </c:pt>
                <c:pt idx="9">
                  <c:v>10.0</c:v>
                </c:pt>
              </c:numCache>
            </c:numRef>
          </c:xVal>
          <c:yVal>
            <c:numRef>
              <c:f>'[Figures-ProportionalHazard-Median.xls]Sheet1'!$C$3:$C$12</c:f>
              <c:numCache>
                <c:formatCode>General</c:formatCode>
                <c:ptCount val="10"/>
                <c:pt idx="0">
                  <c:v>3.5</c:v>
                </c:pt>
                <c:pt idx="1">
                  <c:v>4.2</c:v>
                </c:pt>
                <c:pt idx="2">
                  <c:v>4.9</c:v>
                </c:pt>
                <c:pt idx="3">
                  <c:v>5.2</c:v>
                </c:pt>
                <c:pt idx="4">
                  <c:v>5.3</c:v>
                </c:pt>
                <c:pt idx="5">
                  <c:v>5.5</c:v>
                </c:pt>
                <c:pt idx="6">
                  <c:v>6.1</c:v>
                </c:pt>
                <c:pt idx="7">
                  <c:v>6.5</c:v>
                </c:pt>
                <c:pt idx="8">
                  <c:v>6.6</c:v>
                </c:pt>
                <c:pt idx="9">
                  <c:v>6.8</c:v>
                </c:pt>
              </c:numCache>
            </c:numRef>
          </c:yVal>
          <c:smooth val="1"/>
        </c:ser>
        <c:ser>
          <c:idx val="1"/>
          <c:order val="1"/>
          <c:spPr>
            <a:ln w="25400">
              <a:solidFill>
                <a:srgbClr val="000000"/>
              </a:solidFill>
              <a:prstDash val="solid"/>
            </a:ln>
          </c:spPr>
          <c:marker>
            <c:symbol val="none"/>
          </c:marker>
          <c:xVal>
            <c:numRef>
              <c:f>'[Figures-ProportionalHazard-Median.xls]Sheet1'!$B$3:$B$12</c:f>
              <c:numCache>
                <c:formatCode>General</c:formatCode>
                <c:ptCount val="10"/>
                <c:pt idx="0">
                  <c:v>1.0</c:v>
                </c:pt>
                <c:pt idx="1">
                  <c:v>2.0</c:v>
                </c:pt>
                <c:pt idx="2">
                  <c:v>3.0</c:v>
                </c:pt>
                <c:pt idx="3">
                  <c:v>4.0</c:v>
                </c:pt>
                <c:pt idx="4">
                  <c:v>5.0</c:v>
                </c:pt>
                <c:pt idx="5">
                  <c:v>6.0</c:v>
                </c:pt>
                <c:pt idx="6">
                  <c:v>7.0</c:v>
                </c:pt>
                <c:pt idx="7">
                  <c:v>8.0</c:v>
                </c:pt>
                <c:pt idx="8">
                  <c:v>9.0</c:v>
                </c:pt>
                <c:pt idx="9">
                  <c:v>10.0</c:v>
                </c:pt>
              </c:numCache>
            </c:numRef>
          </c:xVal>
          <c:yVal>
            <c:numRef>
              <c:f>'[Figures-ProportionalHazard-Median.xls]Sheet1'!$D$3:$D$12</c:f>
              <c:numCache>
                <c:formatCode>General</c:formatCode>
                <c:ptCount val="10"/>
                <c:pt idx="0">
                  <c:v>2.0</c:v>
                </c:pt>
                <c:pt idx="1">
                  <c:v>2.5</c:v>
                </c:pt>
                <c:pt idx="2">
                  <c:v>3.0</c:v>
                </c:pt>
                <c:pt idx="3">
                  <c:v>3.1</c:v>
                </c:pt>
                <c:pt idx="4">
                  <c:v>3.2</c:v>
                </c:pt>
                <c:pt idx="5">
                  <c:v>3.5</c:v>
                </c:pt>
                <c:pt idx="6">
                  <c:v>3.9</c:v>
                </c:pt>
                <c:pt idx="7">
                  <c:v>4.1</c:v>
                </c:pt>
                <c:pt idx="8">
                  <c:v>4.2</c:v>
                </c:pt>
                <c:pt idx="9">
                  <c:v>4.4</c:v>
                </c:pt>
              </c:numCache>
            </c:numRef>
          </c:yVal>
          <c:smooth val="1"/>
        </c:ser>
        <c:dLbls>
          <c:showLegendKey val="0"/>
          <c:showVal val="0"/>
          <c:showCatName val="0"/>
          <c:showSerName val="0"/>
          <c:showPercent val="0"/>
          <c:showBubbleSize val="0"/>
        </c:dLbls>
        <c:axId val="543454216"/>
        <c:axId val="543460232"/>
      </c:scatterChart>
      <c:valAx>
        <c:axId val="543454216"/>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Time</a:t>
                </a:r>
              </a:p>
            </c:rich>
          </c:tx>
          <c:layout>
            <c:manualLayout>
              <c:xMode val="edge"/>
              <c:yMode val="edge"/>
              <c:x val="0.481133396061341"/>
              <c:y val="0.828054298642534"/>
            </c:manualLayout>
          </c:layout>
          <c:overlay val="0"/>
          <c:spPr>
            <a:noFill/>
            <a:ln w="25400">
              <a:noFill/>
            </a:ln>
          </c:spPr>
        </c:title>
        <c:numFmt formatCode="General" sourceLinked="1"/>
        <c:majorTickMark val="none"/>
        <c:minorTickMark val="none"/>
        <c:tickLblPos val="none"/>
        <c:spPr>
          <a:ln w="9525">
            <a:noFill/>
          </a:ln>
        </c:spPr>
        <c:crossAx val="543460232"/>
        <c:crosses val="autoZero"/>
        <c:crossBetween val="midCat"/>
      </c:valAx>
      <c:valAx>
        <c:axId val="543460232"/>
        <c:scaling>
          <c:orientation val="minMax"/>
        </c:scaling>
        <c:delete val="0"/>
        <c:axPos val="l"/>
        <c:title>
          <c:tx>
            <c:rich>
              <a:bodyPr/>
              <a:lstStyle/>
              <a:p>
                <a:pPr>
                  <a:defRPr sz="1000" b="1" i="0" u="none" strike="noStrike" baseline="0">
                    <a:solidFill>
                      <a:srgbClr val="000000"/>
                    </a:solidFill>
                    <a:latin typeface="Arial"/>
                    <a:ea typeface="Arial"/>
                    <a:cs typeface="Arial"/>
                  </a:defRPr>
                </a:pPr>
                <a:r>
                  <a:rPr lang="en-US"/>
                  <a:t>Hazard</a:t>
                </a:r>
              </a:p>
            </c:rich>
          </c:tx>
          <c:layout>
            <c:manualLayout>
              <c:xMode val="edge"/>
              <c:yMode val="edge"/>
              <c:x val="0.050314465408805"/>
              <c:y val="0.339366515837104"/>
            </c:manualLayout>
          </c:layout>
          <c:overlay val="0"/>
          <c:spPr>
            <a:noFill/>
            <a:ln w="25400">
              <a:noFill/>
            </a:ln>
          </c:spPr>
        </c:title>
        <c:numFmt formatCode="General" sourceLinked="1"/>
        <c:majorTickMark val="none"/>
        <c:minorTickMark val="none"/>
        <c:tickLblPos val="none"/>
        <c:spPr>
          <a:ln w="9525">
            <a:noFill/>
          </a:ln>
        </c:spPr>
        <c:crossAx val="543454216"/>
        <c:crosses val="autoZero"/>
        <c:crossBetween val="midCat"/>
      </c:valAx>
      <c:spPr>
        <a:noFill/>
        <a:ln w="3175">
          <a:solidFill>
            <a:srgbClr val="000000"/>
          </a:solidFill>
          <a:prstDash val="solid"/>
        </a:ln>
      </c:spPr>
    </c:plotArea>
    <c:plotVisOnly val="1"/>
    <c:dispBlanksAs val="gap"/>
    <c:showDLblsOverMax val="0"/>
  </c:chart>
  <c:spPr>
    <a:solidFill>
      <a:srgbClr val="FFFFFF"/>
    </a:solidFill>
    <a:ln w="9525">
      <a:noFill/>
    </a:ln>
  </c:spPr>
  <c:txPr>
    <a:bodyPr/>
    <a:lstStyle/>
    <a:p>
      <a:pPr>
        <a:defRPr sz="825"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2641886061217"/>
          <c:y val="0.0681819695089877"/>
          <c:w val="0.833335892467241"/>
          <c:h val="0.75909259386673"/>
        </c:manualLayout>
      </c:layout>
      <c:scatterChart>
        <c:scatterStyle val="smoothMarker"/>
        <c:varyColors val="0"/>
        <c:ser>
          <c:idx val="0"/>
          <c:order val="0"/>
          <c:spPr>
            <a:ln w="25400">
              <a:solidFill>
                <a:srgbClr val="000000"/>
              </a:solidFill>
              <a:prstDash val="solid"/>
            </a:ln>
          </c:spPr>
          <c:marker>
            <c:symbol val="none"/>
          </c:marker>
          <c:xVal>
            <c:numRef>
              <c:f>'[Figures-ProportionalHazard-Median.xls]Sheet1'!$F$3:$F$12</c:f>
              <c:numCache>
                <c:formatCode>General</c:formatCode>
                <c:ptCount val="10"/>
                <c:pt idx="0">
                  <c:v>1.0</c:v>
                </c:pt>
                <c:pt idx="1">
                  <c:v>2.0</c:v>
                </c:pt>
                <c:pt idx="2">
                  <c:v>3.0</c:v>
                </c:pt>
                <c:pt idx="3">
                  <c:v>4.0</c:v>
                </c:pt>
                <c:pt idx="4">
                  <c:v>5.0</c:v>
                </c:pt>
                <c:pt idx="5">
                  <c:v>6.0</c:v>
                </c:pt>
                <c:pt idx="6">
                  <c:v>7.0</c:v>
                </c:pt>
                <c:pt idx="7">
                  <c:v>8.0</c:v>
                </c:pt>
                <c:pt idx="8">
                  <c:v>9.0</c:v>
                </c:pt>
                <c:pt idx="9">
                  <c:v>10.0</c:v>
                </c:pt>
              </c:numCache>
            </c:numRef>
          </c:xVal>
          <c:yVal>
            <c:numRef>
              <c:f>'[Figures-ProportionalHazard-Median.xls]Sheet1'!$G$3:$G$12</c:f>
              <c:numCache>
                <c:formatCode>General</c:formatCode>
                <c:ptCount val="10"/>
                <c:pt idx="0">
                  <c:v>0.444068044350276</c:v>
                </c:pt>
                <c:pt idx="1">
                  <c:v>0.4832492903979</c:v>
                </c:pt>
                <c:pt idx="2">
                  <c:v>0.500196080028514</c:v>
                </c:pt>
                <c:pt idx="3">
                  <c:v>0.526003343634799</c:v>
                </c:pt>
                <c:pt idx="4">
                  <c:v>0.564275869600789</c:v>
                </c:pt>
                <c:pt idx="5">
                  <c:v>0.590362689494244</c:v>
                </c:pt>
                <c:pt idx="6">
                  <c:v>0.615329835010767</c:v>
                </c:pt>
                <c:pt idx="7">
                  <c:v>0.62</c:v>
                </c:pt>
                <c:pt idx="8">
                  <c:v>0.639543935541869</c:v>
                </c:pt>
                <c:pt idx="9">
                  <c:v>0.642508912706236</c:v>
                </c:pt>
              </c:numCache>
            </c:numRef>
          </c:yVal>
          <c:smooth val="1"/>
        </c:ser>
        <c:ser>
          <c:idx val="1"/>
          <c:order val="1"/>
          <c:spPr>
            <a:ln w="25400">
              <a:solidFill>
                <a:srgbClr val="000000"/>
              </a:solidFill>
              <a:prstDash val="solid"/>
            </a:ln>
          </c:spPr>
          <c:marker>
            <c:symbol val="none"/>
          </c:marker>
          <c:xVal>
            <c:numRef>
              <c:f>'[Figures-ProportionalHazard-Median.xls]Sheet1'!$F$3:$F$12</c:f>
              <c:numCache>
                <c:formatCode>General</c:formatCode>
                <c:ptCount val="10"/>
                <c:pt idx="0">
                  <c:v>1.0</c:v>
                </c:pt>
                <c:pt idx="1">
                  <c:v>2.0</c:v>
                </c:pt>
                <c:pt idx="2">
                  <c:v>3.0</c:v>
                </c:pt>
                <c:pt idx="3">
                  <c:v>4.0</c:v>
                </c:pt>
                <c:pt idx="4">
                  <c:v>5.0</c:v>
                </c:pt>
                <c:pt idx="5">
                  <c:v>6.0</c:v>
                </c:pt>
                <c:pt idx="6">
                  <c:v>7.0</c:v>
                </c:pt>
                <c:pt idx="7">
                  <c:v>8.0</c:v>
                </c:pt>
                <c:pt idx="8">
                  <c:v>9.0</c:v>
                </c:pt>
                <c:pt idx="9">
                  <c:v>10.0</c:v>
                </c:pt>
              </c:numCache>
            </c:numRef>
          </c:xVal>
          <c:yVal>
            <c:numRef>
              <c:f>'[Figures-ProportionalHazard-Median.xls]Sheet1'!$H$3:$H$12</c:f>
              <c:numCache>
                <c:formatCode>General</c:formatCode>
                <c:ptCount val="10"/>
                <c:pt idx="0">
                  <c:v>0.364068044350276</c:v>
                </c:pt>
                <c:pt idx="1">
                  <c:v>0.4032492903979</c:v>
                </c:pt>
                <c:pt idx="2">
                  <c:v>0.420196080028514</c:v>
                </c:pt>
                <c:pt idx="3">
                  <c:v>0.446003343634799</c:v>
                </c:pt>
                <c:pt idx="4">
                  <c:v>0.484275869600789</c:v>
                </c:pt>
                <c:pt idx="5">
                  <c:v>0.510362689494244</c:v>
                </c:pt>
                <c:pt idx="6">
                  <c:v>0.535329835010767</c:v>
                </c:pt>
                <c:pt idx="7">
                  <c:v>0.54</c:v>
                </c:pt>
                <c:pt idx="8">
                  <c:v>0.559543935541869</c:v>
                </c:pt>
                <c:pt idx="9">
                  <c:v>0.562508912706236</c:v>
                </c:pt>
              </c:numCache>
            </c:numRef>
          </c:yVal>
          <c:smooth val="1"/>
        </c:ser>
        <c:dLbls>
          <c:showLegendKey val="0"/>
          <c:showVal val="0"/>
          <c:showCatName val="0"/>
          <c:showSerName val="0"/>
          <c:showPercent val="0"/>
          <c:showBubbleSize val="0"/>
        </c:dLbls>
        <c:axId val="543497528"/>
        <c:axId val="543503496"/>
      </c:scatterChart>
      <c:valAx>
        <c:axId val="543497528"/>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Time</a:t>
                </a:r>
              </a:p>
            </c:rich>
          </c:tx>
          <c:layout>
            <c:manualLayout>
              <c:xMode val="edge"/>
              <c:yMode val="edge"/>
              <c:x val="0.481133396061341"/>
              <c:y val="0.82727463612503"/>
            </c:manualLayout>
          </c:layout>
          <c:overlay val="0"/>
          <c:spPr>
            <a:noFill/>
            <a:ln w="25400">
              <a:noFill/>
            </a:ln>
          </c:spPr>
        </c:title>
        <c:numFmt formatCode="General" sourceLinked="1"/>
        <c:majorTickMark val="none"/>
        <c:minorTickMark val="none"/>
        <c:tickLblPos val="none"/>
        <c:spPr>
          <a:ln w="9525">
            <a:noFill/>
          </a:ln>
        </c:spPr>
        <c:crossAx val="543503496"/>
        <c:crosses val="autoZero"/>
        <c:crossBetween val="midCat"/>
      </c:valAx>
      <c:valAx>
        <c:axId val="543503496"/>
        <c:scaling>
          <c:orientation val="minMax"/>
          <c:max val="0.9"/>
          <c:min val="0.1"/>
        </c:scaling>
        <c:delete val="0"/>
        <c:axPos val="l"/>
        <c:title>
          <c:tx>
            <c:rich>
              <a:bodyPr/>
              <a:lstStyle/>
              <a:p>
                <a:pPr>
                  <a:defRPr sz="1000" b="1" i="0" u="none" strike="noStrike" baseline="0">
                    <a:solidFill>
                      <a:srgbClr val="000000"/>
                    </a:solidFill>
                    <a:latin typeface="Arial"/>
                    <a:ea typeface="Arial"/>
                    <a:cs typeface="Arial"/>
                  </a:defRPr>
                </a:pPr>
                <a:r>
                  <a:rPr lang="en-US"/>
                  <a:t>Log of Hazard</a:t>
                </a:r>
              </a:p>
            </c:rich>
          </c:tx>
          <c:layout>
            <c:manualLayout>
              <c:xMode val="edge"/>
              <c:yMode val="edge"/>
              <c:x val="0.050314465408805"/>
              <c:y val="0.236364113576712"/>
            </c:manualLayout>
          </c:layout>
          <c:overlay val="0"/>
          <c:spPr>
            <a:noFill/>
            <a:ln w="25400">
              <a:noFill/>
            </a:ln>
          </c:spPr>
        </c:title>
        <c:numFmt formatCode="General" sourceLinked="1"/>
        <c:majorTickMark val="none"/>
        <c:minorTickMark val="none"/>
        <c:tickLblPos val="none"/>
        <c:spPr>
          <a:ln w="9525">
            <a:noFill/>
          </a:ln>
        </c:spPr>
        <c:crossAx val="543497528"/>
        <c:crosses val="autoZero"/>
        <c:crossBetween val="midCat"/>
      </c:valAx>
      <c:spPr>
        <a:noFill/>
        <a:ln w="3175">
          <a:solidFill>
            <a:srgbClr val="000000"/>
          </a:solidFill>
          <a:prstDash val="solid"/>
        </a:ln>
      </c:spPr>
    </c:plotArea>
    <c:plotVisOnly val="1"/>
    <c:dispBlanksAs val="gap"/>
    <c:showDLblsOverMax val="0"/>
  </c:chart>
  <c:spPr>
    <a:solidFill>
      <a:srgbClr val="FFFFFF"/>
    </a:solidFill>
    <a:ln w="9525">
      <a:noFill/>
    </a:ln>
  </c:spPr>
  <c:txPr>
    <a:bodyPr/>
    <a:lstStyle/>
    <a:p>
      <a:pPr>
        <a:defRPr sz="825"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0.17799</cdr:x>
      <cdr:y>0.13919</cdr:y>
    </cdr:from>
    <cdr:to>
      <cdr:x>0.71088</cdr:x>
      <cdr:y>0.22833</cdr:y>
    </cdr:to>
    <cdr:sp macro="" textlink="">
      <cdr:nvSpPr>
        <cdr:cNvPr id="10241" name="Text Box 1"/>
        <cdr:cNvSpPr txBox="1">
          <a:spLocks xmlns:a="http://schemas.openxmlformats.org/drawingml/2006/main" noChangeArrowheads="1"/>
        </cdr:cNvSpPr>
      </cdr:nvSpPr>
      <cdr:spPr bwMode="auto">
        <a:xfrm xmlns:a="http://schemas.openxmlformats.org/drawingml/2006/main">
          <a:off x="540599" y="272318"/>
          <a:ext cx="1609028" cy="17234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850" b="0" i="0" strike="noStrike">
              <a:solidFill>
                <a:srgbClr val="000000"/>
              </a:solidFill>
              <a:latin typeface="Arial"/>
              <a:cs typeface="Arial"/>
            </a:rPr>
            <a:t>Duration with 80% survival</a:t>
          </a:r>
        </a:p>
      </cdr:txBody>
    </cdr:sp>
  </cdr:relSizeAnchor>
  <cdr:relSizeAnchor xmlns:cdr="http://schemas.openxmlformats.org/drawingml/2006/chartDrawing">
    <cdr:from>
      <cdr:x>0.54431</cdr:x>
      <cdr:y>0.35882</cdr:y>
    </cdr:from>
    <cdr:to>
      <cdr:x>0.96002</cdr:x>
      <cdr:y>0.44866</cdr:y>
    </cdr:to>
    <cdr:sp macro="" textlink="">
      <cdr:nvSpPr>
        <cdr:cNvPr id="10242" name="Text Box 2"/>
        <cdr:cNvSpPr txBox="1">
          <a:spLocks xmlns:a="http://schemas.openxmlformats.org/drawingml/2006/main" noChangeArrowheads="1"/>
        </cdr:cNvSpPr>
      </cdr:nvSpPr>
      <cdr:spPr bwMode="auto">
        <a:xfrm xmlns:a="http://schemas.openxmlformats.org/drawingml/2006/main">
          <a:off x="1646669" y="696971"/>
          <a:ext cx="1255202" cy="173722"/>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850" b="0" i="0" strike="noStrike">
              <a:solidFill>
                <a:srgbClr val="000000"/>
              </a:solidFill>
              <a:latin typeface="Arial"/>
              <a:cs typeface="Arial"/>
            </a:rPr>
            <a:t>Median survival time</a:t>
          </a:r>
        </a:p>
      </cdr:txBody>
    </cdr:sp>
  </cdr:relSizeAnchor>
  <cdr:relSizeAnchor xmlns:cdr="http://schemas.openxmlformats.org/drawingml/2006/chartDrawing">
    <cdr:from>
      <cdr:x>0</cdr:x>
      <cdr:y>0.14379</cdr:y>
    </cdr:from>
    <cdr:to>
      <cdr:x>0.05956</cdr:x>
      <cdr:y>0.89083</cdr:y>
    </cdr:to>
    <cdr:sp macro="" textlink="">
      <cdr:nvSpPr>
        <cdr:cNvPr id="10243" name="Text Box 3"/>
        <cdr:cNvSpPr txBox="1">
          <a:spLocks xmlns:a="http://schemas.openxmlformats.org/drawingml/2006/main" noChangeArrowheads="1"/>
        </cdr:cNvSpPr>
      </cdr:nvSpPr>
      <cdr:spPr bwMode="auto">
        <a:xfrm xmlns:a="http://schemas.openxmlformats.org/drawingml/2006/main">
          <a:off x="0" y="279400"/>
          <a:ext cx="179270" cy="145157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vert="vert270" wrap="square" lIns="27432" tIns="22860" rIns="27432" bIns="22860" anchor="ctr" upright="1"/>
        <a:lstStyle xmlns:a="http://schemas.openxmlformats.org/drawingml/2006/main"/>
        <a:p xmlns:a="http://schemas.openxmlformats.org/drawingml/2006/main">
          <a:pPr algn="ctr" rtl="1">
            <a:defRPr sz="1000"/>
          </a:pPr>
          <a:r>
            <a:rPr lang="en-US" sz="850" b="0" i="0" strike="noStrike">
              <a:solidFill>
                <a:srgbClr val="000000"/>
              </a:solidFill>
              <a:latin typeface="Arial"/>
              <a:cs typeface="Arial"/>
            </a:rPr>
            <a:t>5-year survival rate</a:t>
          </a:r>
        </a:p>
      </cdr:txBody>
    </cdr:sp>
  </cdr:relSizeAnchor>
</c:userShapes>
</file>

<file path=word/drawings/drawing2.xml><?xml version="1.0" encoding="utf-8"?>
<c:userShapes xmlns:c="http://schemas.openxmlformats.org/drawingml/2006/chart">
  <cdr:relSizeAnchor xmlns:cdr="http://schemas.openxmlformats.org/drawingml/2006/chartDrawing">
    <cdr:from>
      <cdr:x>0.5254</cdr:x>
      <cdr:y>0.5033</cdr:y>
    </cdr:from>
    <cdr:to>
      <cdr:x>0.72131</cdr:x>
      <cdr:y>0.55736</cdr:y>
    </cdr:to>
    <cdr:sp macro="" textlink="">
      <cdr:nvSpPr>
        <cdr:cNvPr id="2049" name="Text Box 1"/>
        <cdr:cNvSpPr txBox="1">
          <a:spLocks xmlns:a="http://schemas.openxmlformats.org/drawingml/2006/main" noChangeArrowheads="1"/>
        </cdr:cNvSpPr>
      </cdr:nvSpPr>
      <cdr:spPr bwMode="auto">
        <a:xfrm xmlns:a="http://schemas.openxmlformats.org/drawingml/2006/main">
          <a:off x="1591410" y="1064260"/>
          <a:ext cx="593402" cy="114300"/>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0" i="0" strike="noStrike">
              <a:solidFill>
                <a:srgbClr val="000000"/>
              </a:solidFill>
              <a:latin typeface="Arial"/>
              <a:cs typeface="Arial"/>
            </a:rPr>
            <a:t>Baseline</a:t>
          </a:r>
        </a:p>
      </cdr:txBody>
    </cdr:sp>
  </cdr:relSizeAnchor>
  <cdr:relSizeAnchor xmlns:cdr="http://schemas.openxmlformats.org/drawingml/2006/chartDrawing">
    <cdr:from>
      <cdr:x>0.3044</cdr:x>
      <cdr:y>0.12492</cdr:y>
    </cdr:from>
    <cdr:to>
      <cdr:x>0.69234</cdr:x>
      <cdr:y>0.26579</cdr:y>
    </cdr:to>
    <cdr:sp macro="" textlink="">
      <cdr:nvSpPr>
        <cdr:cNvPr id="2050" name="Text Box 2"/>
        <cdr:cNvSpPr txBox="1">
          <a:spLocks xmlns:a="http://schemas.openxmlformats.org/drawingml/2006/main" noChangeArrowheads="1"/>
        </cdr:cNvSpPr>
      </cdr:nvSpPr>
      <cdr:spPr bwMode="auto">
        <a:xfrm xmlns:a="http://schemas.openxmlformats.org/drawingml/2006/main">
          <a:off x="922020" y="264160"/>
          <a:ext cx="1175051" cy="297856"/>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0" i="0" strike="noStrike">
              <a:solidFill>
                <a:srgbClr val="000000"/>
              </a:solidFill>
              <a:latin typeface="Arial"/>
              <a:cs typeface="Arial"/>
            </a:rPr>
            <a:t>Risk factor present</a:t>
          </a:r>
        </a:p>
      </cdr:txBody>
    </cdr:sp>
  </cdr:relSizeAnchor>
</c:userShapes>
</file>

<file path=word/drawings/drawing3.xml><?xml version="1.0" encoding="utf-8"?>
<c:userShapes xmlns:c="http://schemas.openxmlformats.org/drawingml/2006/chart">
  <cdr:relSizeAnchor xmlns:cdr="http://schemas.openxmlformats.org/drawingml/2006/chartDrawing">
    <cdr:from>
      <cdr:x>0.54843</cdr:x>
      <cdr:y>0.41622</cdr:y>
    </cdr:from>
    <cdr:to>
      <cdr:x>0.77001</cdr:x>
      <cdr:y>0.49021</cdr:y>
    </cdr:to>
    <cdr:sp macro="" textlink="">
      <cdr:nvSpPr>
        <cdr:cNvPr id="3073" name="Text Box 1"/>
        <cdr:cNvSpPr txBox="1">
          <a:spLocks xmlns:a="http://schemas.openxmlformats.org/drawingml/2006/main" noChangeArrowheads="1"/>
        </cdr:cNvSpPr>
      </cdr:nvSpPr>
      <cdr:spPr bwMode="auto">
        <a:xfrm xmlns:a="http://schemas.openxmlformats.org/drawingml/2006/main">
          <a:off x="1669574" y="879330"/>
          <a:ext cx="673262" cy="155757"/>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0" i="0" strike="noStrike">
              <a:solidFill>
                <a:srgbClr val="000000"/>
              </a:solidFill>
              <a:latin typeface="Arial"/>
              <a:cs typeface="Arial"/>
            </a:rPr>
            <a:t>Baseline</a:t>
          </a:r>
        </a:p>
      </cdr:txBody>
    </cdr:sp>
  </cdr:relSizeAnchor>
  <cdr:relSizeAnchor xmlns:cdr="http://schemas.openxmlformats.org/drawingml/2006/chartDrawing">
    <cdr:from>
      <cdr:x>0.49855</cdr:x>
      <cdr:y>0.22646</cdr:y>
    </cdr:from>
    <cdr:to>
      <cdr:x>0.87632</cdr:x>
      <cdr:y>0.30428</cdr:y>
    </cdr:to>
    <cdr:sp macro="" textlink="">
      <cdr:nvSpPr>
        <cdr:cNvPr id="3074" name="Text Box 2"/>
        <cdr:cNvSpPr txBox="1">
          <a:spLocks xmlns:a="http://schemas.openxmlformats.org/drawingml/2006/main" noChangeArrowheads="1"/>
        </cdr:cNvSpPr>
      </cdr:nvSpPr>
      <cdr:spPr bwMode="auto">
        <a:xfrm xmlns:a="http://schemas.openxmlformats.org/drawingml/2006/main">
          <a:off x="1517998" y="479887"/>
          <a:ext cx="1147857" cy="163797"/>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0" i="0" strike="noStrike">
              <a:solidFill>
                <a:srgbClr val="000000"/>
              </a:solidFill>
              <a:latin typeface="Arial"/>
              <a:cs typeface="Arial"/>
            </a:rPr>
            <a:t>Risk factor present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7B46D-C08C-DB40-98C8-A58461534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2388</Words>
  <Characters>13612</Characters>
  <Application>Microsoft Macintosh Word</Application>
  <DocSecurity>0</DocSecurity>
  <Lines>113</Lines>
  <Paragraphs>31</Paragraphs>
  <ScaleCrop>false</ScaleCrop>
  <Company/>
  <LinksUpToDate>false</LinksUpToDate>
  <CharactersWithSpaces>15969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Mummy-Papa Indrayan</dc:creator>
  <cp:keywords/>
  <dc:description/>
  <cp:lastModifiedBy>Mummy-Papa Indrayan</cp:lastModifiedBy>
  <cp:revision>8</cp:revision>
  <dcterms:created xsi:type="dcterms:W3CDTF">2011-03-13T14:02:00Z</dcterms:created>
  <dcterms:modified xsi:type="dcterms:W3CDTF">2011-03-13T19:03:00Z</dcterms:modified>
</cp:coreProperties>
</file>